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1" w:lineRule="exact"/>
        <w:rPr>
          <w:sz w:val="24"/>
          <w:szCs w:val="24"/>
          <w:color w:val="auto"/>
        </w:rPr>
      </w:pPr>
    </w:p>
    <w:p>
      <w:pPr>
        <w:ind w:left="420" w:hanging="28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35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April 30, 2026</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43" w:lineRule="exact"/>
        <w:rPr>
          <w:sz w:val="24"/>
          <w:szCs w:val="24"/>
          <w:color w:val="auto"/>
        </w:rPr>
      </w:pPr>
    </w:p>
    <w:p>
      <w:pPr>
        <w:ind w:left="4240" w:right="2480" w:hanging="4104"/>
        <w:spacing w:after="0" w:line="377" w:lineRule="auto"/>
        <w:tabs>
          <w:tab w:leader="none" w:pos="41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001-36568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-31750</wp:posOffset>
            </wp:positionV>
            <wp:extent cx="2785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43"/>
          <w:szCs w:val="43"/>
          <w:b w:val="1"/>
          <w:bCs w:val="1"/>
          <w:u w:val="single" w:color="auto"/>
          <w:color w:val="auto"/>
        </w:rPr>
        <w:t>HEALTHEQUITY, INC.</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4"/>
                <w:szCs w:val="14"/>
                <w:color w:val="auto"/>
              </w:rPr>
              <w:t>(Exact name of registrant as specified in its charter)</w:t>
            </w:r>
          </w:p>
        </w:tc>
        <w:tc>
          <w:tcPr>
            <w:tcW w:w="34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42"/>
        </w:trPr>
        <w:tc>
          <w:tcPr>
            <w:tcW w:w="3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Delaware</w:t>
            </w:r>
          </w:p>
        </w:tc>
        <w:tc>
          <w:tcPr>
            <w:tcW w:w="3700" w:type="dxa"/>
            <w:vAlign w:val="bottom"/>
          </w:tcPr>
          <w:p>
            <w:pPr>
              <w:spacing w:after="0"/>
              <w:rPr>
                <w:sz w:val="21"/>
                <w:szCs w:val="21"/>
                <w:color w:val="auto"/>
              </w:rPr>
            </w:pPr>
          </w:p>
        </w:tc>
        <w:tc>
          <w:tcPr>
            <w:tcW w:w="3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52-2383166</w:t>
            </w:r>
          </w:p>
        </w:tc>
      </w:tr>
      <w:tr>
        <w:trPr>
          <w:trHeight w:val="148"/>
        </w:trPr>
        <w:tc>
          <w:tcPr>
            <w:tcW w:w="37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(State or other jurisdiction of</w:t>
            </w:r>
          </w:p>
        </w:tc>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80" w:type="dxa"/>
            <w:vAlign w:val="bottom"/>
          </w:tcPr>
          <w:p>
            <w:pPr>
              <w:jc w:val="center"/>
              <w:ind w:right="168"/>
              <w:spacing w:after="0" w:line="149" w:lineRule="exact"/>
              <w:rPr>
                <w:sz w:val="20"/>
                <w:szCs w:val="20"/>
                <w:color w:val="auto"/>
              </w:rPr>
            </w:pPr>
            <w:r>
              <w:rPr>
                <w:rFonts w:ascii="Arial" w:cs="Arial" w:eastAsia="Arial" w:hAnsi="Arial"/>
                <w:sz w:val="14"/>
                <w:szCs w:val="14"/>
                <w:color w:val="auto"/>
              </w:rPr>
              <w:t>(I.R.S. Employer</w:t>
            </w:r>
          </w:p>
        </w:tc>
      </w:tr>
      <w:tr>
        <w:trPr>
          <w:trHeight w:val="190"/>
        </w:trPr>
        <w:tc>
          <w:tcPr>
            <w:tcW w:w="3780" w:type="dxa"/>
            <w:vAlign w:val="bottom"/>
            <w:gridSpan w:val="2"/>
          </w:tcPr>
          <w:p>
            <w:pPr>
              <w:jc w:val="center"/>
              <w:ind w:right="80"/>
              <w:spacing w:after="0"/>
              <w:rPr>
                <w:sz w:val="20"/>
                <w:szCs w:val="20"/>
                <w:color w:val="auto"/>
              </w:rPr>
            </w:pPr>
            <w:r>
              <w:rPr>
                <w:rFonts w:ascii="Arial" w:cs="Arial" w:eastAsia="Arial" w:hAnsi="Arial"/>
                <w:sz w:val="14"/>
                <w:szCs w:val="14"/>
                <w:color w:val="auto"/>
              </w:rPr>
              <w:t>incorporation or organization)</w:t>
            </w:r>
          </w:p>
        </w:tc>
        <w:tc>
          <w:tcPr>
            <w:tcW w:w="3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80" w:type="dxa"/>
            <w:vAlign w:val="bottom"/>
          </w:tcPr>
          <w:p>
            <w:pPr>
              <w:jc w:val="center"/>
              <w:ind w:right="188"/>
              <w:spacing w:after="0"/>
              <w:rPr>
                <w:sz w:val="20"/>
                <w:szCs w:val="20"/>
                <w:color w:val="auto"/>
              </w:rPr>
            </w:pPr>
            <w:r>
              <w:rPr>
                <w:rFonts w:ascii="Arial" w:cs="Arial" w:eastAsia="Arial" w:hAnsi="Arial"/>
                <w:sz w:val="14"/>
                <w:szCs w:val="14"/>
                <w:color w:val="auto"/>
              </w:rPr>
              <w:t>Identification Number)</w:t>
            </w:r>
          </w:p>
        </w:tc>
      </w:tr>
      <w:tr>
        <w:trPr>
          <w:trHeight w:val="309"/>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rPr>
              <w:t>15 West Scenic Pointe Drive</w:t>
            </w:r>
          </w:p>
        </w:tc>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76"/>
        </w:trPr>
        <w:tc>
          <w:tcPr>
            <w:tcW w:w="3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rPr>
              <w:t>Suite 100</w:t>
            </w:r>
          </w:p>
        </w:tc>
        <w:tc>
          <w:tcPr>
            <w:tcW w:w="3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62"/>
        </w:trPr>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rPr>
              <w:t>Draper, Utah 84020</w:t>
            </w:r>
          </w:p>
        </w:tc>
        <w:tc>
          <w:tcPr>
            <w:tcW w:w="3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90"/>
        </w:trPr>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4"/>
                <w:szCs w:val="14"/>
                <w:color w:val="auto"/>
              </w:rPr>
              <w:t>(Address of principal executive offices) (Zip code)</w:t>
            </w:r>
          </w:p>
        </w:tc>
        <w:tc>
          <w:tcPr>
            <w:tcW w:w="34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404"/>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801</w:t>
            </w:r>
            <w:r>
              <w:rPr>
                <w:rFonts w:ascii="Arial" w:cs="Arial" w:eastAsia="Arial" w:hAnsi="Arial"/>
                <w:sz w:val="14"/>
                <w:szCs w:val="14"/>
                <w:b w:val="1"/>
                <w:bCs w:val="1"/>
                <w:color w:val="auto"/>
              </w:rPr>
              <w:t xml:space="preserve">) </w:t>
            </w:r>
            <w:r>
              <w:rPr>
                <w:rFonts w:ascii="Arial" w:cs="Arial" w:eastAsia="Arial" w:hAnsi="Arial"/>
                <w:sz w:val="14"/>
                <w:szCs w:val="14"/>
                <w:color w:val="auto"/>
              </w:rPr>
              <w:t>727-1000</w:t>
            </w:r>
          </w:p>
        </w:tc>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90"/>
        </w:trPr>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4"/>
                <w:szCs w:val="14"/>
                <w:color w:val="auto"/>
              </w:rPr>
              <w:t>(Registrant's telephone Number, including Area Code)</w:t>
            </w:r>
          </w:p>
        </w:tc>
        <w:tc>
          <w:tcPr>
            <w:tcW w:w="34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75"/>
        </w:trPr>
        <w:tc>
          <w:tcPr>
            <w:tcW w:w="34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7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380" w:type="dxa"/>
            <w:vAlign w:val="bottom"/>
          </w:tcPr>
          <w:p>
            <w:pPr>
              <w:spacing w:after="0"/>
              <w:rPr>
                <w:sz w:val="6"/>
                <w:szCs w:val="6"/>
                <w:color w:val="auto"/>
              </w:rPr>
            </w:pPr>
          </w:p>
        </w:tc>
      </w:tr>
      <w:tr>
        <w:trPr>
          <w:trHeight w:val="255"/>
        </w:trPr>
        <w:tc>
          <w:tcPr>
            <w:tcW w:w="3780" w:type="dxa"/>
            <w:vAlign w:val="bottom"/>
            <w:gridSpan w:val="2"/>
          </w:tcPr>
          <w:p>
            <w:pPr>
              <w:jc w:val="center"/>
              <w:ind w:right="120"/>
              <w:spacing w:after="0"/>
              <w:rPr>
                <w:sz w:val="20"/>
                <w:szCs w:val="20"/>
                <w:color w:val="auto"/>
              </w:rPr>
            </w:pPr>
            <w:r>
              <w:rPr>
                <w:rFonts w:ascii="Arial" w:cs="Arial" w:eastAsia="Arial" w:hAnsi="Arial"/>
                <w:sz w:val="14"/>
                <w:szCs w:val="14"/>
                <w:color w:val="auto"/>
              </w:rPr>
              <w:t>Securities registered pursuant to Section 12(b) of the Act:</w:t>
            </w:r>
          </w:p>
        </w:tc>
        <w:tc>
          <w:tcPr>
            <w:tcW w:w="3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80" w:type="dxa"/>
            <w:vAlign w:val="bottom"/>
          </w:tcPr>
          <w:p>
            <w:pPr>
              <w:spacing w:after="0"/>
              <w:rPr>
                <w:sz w:val="22"/>
                <w:szCs w:val="22"/>
                <w:color w:val="auto"/>
              </w:rPr>
            </w:pPr>
          </w:p>
        </w:tc>
      </w:tr>
      <w:tr>
        <w:trPr>
          <w:trHeight w:val="223"/>
        </w:trPr>
        <w:tc>
          <w:tcPr>
            <w:tcW w:w="3780" w:type="dxa"/>
            <w:vAlign w:val="bottom"/>
            <w:tcBorders>
              <w:bottom w:val="single" w:sz="8" w:color="auto"/>
            </w:tcBorders>
            <w:gridSpan w:val="2"/>
          </w:tcPr>
          <w:p>
            <w:pPr>
              <w:jc w:val="center"/>
              <w:ind w:left="305"/>
              <w:spacing w:after="0"/>
              <w:rPr>
                <w:sz w:val="20"/>
                <w:szCs w:val="20"/>
                <w:color w:val="auto"/>
              </w:rPr>
            </w:pPr>
            <w:r>
              <w:rPr>
                <w:rFonts w:ascii="Arial" w:cs="Arial" w:eastAsia="Arial" w:hAnsi="Arial"/>
                <w:sz w:val="14"/>
                <w:szCs w:val="14"/>
                <w:b w:val="1"/>
                <w:bCs w:val="1"/>
                <w:color w:val="auto"/>
              </w:rPr>
              <w:t>Title of each class</w:t>
            </w:r>
          </w:p>
        </w:tc>
        <w:tc>
          <w:tcPr>
            <w:tcW w:w="37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Trading Symbol(s)</w:t>
            </w:r>
          </w:p>
        </w:tc>
        <w:tc>
          <w:tcPr>
            <w:tcW w:w="3720" w:type="dxa"/>
            <w:vAlign w:val="bottom"/>
            <w:tcBorders>
              <w:bottom w:val="single" w:sz="8" w:color="auto"/>
            </w:tcBorders>
            <w:gridSpan w:val="2"/>
          </w:tcPr>
          <w:p>
            <w:pPr>
              <w:jc w:val="center"/>
              <w:ind w:right="36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3780" w:type="dxa"/>
            <w:vAlign w:val="bottom"/>
            <w:gridSpan w:val="2"/>
          </w:tcPr>
          <w:p>
            <w:pPr>
              <w:jc w:val="center"/>
              <w:ind w:left="305"/>
              <w:spacing w:after="0"/>
              <w:rPr>
                <w:sz w:val="20"/>
                <w:szCs w:val="20"/>
                <w:color w:val="auto"/>
              </w:rPr>
            </w:pPr>
            <w:r>
              <w:rPr>
                <w:rFonts w:ascii="Arial" w:cs="Arial" w:eastAsia="Arial" w:hAnsi="Arial"/>
                <w:sz w:val="14"/>
                <w:szCs w:val="14"/>
                <w:color w:val="auto"/>
              </w:rPr>
              <w:t>Common stock, par value $0.0001 per share</w:t>
            </w:r>
          </w:p>
        </w:tc>
        <w:tc>
          <w:tcPr>
            <w:tcW w:w="3700" w:type="dxa"/>
            <w:vAlign w:val="bottom"/>
          </w:tcPr>
          <w:p>
            <w:pPr>
              <w:jc w:val="center"/>
              <w:spacing w:after="0"/>
              <w:rPr>
                <w:sz w:val="20"/>
                <w:szCs w:val="20"/>
                <w:color w:val="auto"/>
              </w:rPr>
            </w:pPr>
            <w:r>
              <w:rPr>
                <w:rFonts w:ascii="Arial" w:cs="Arial" w:eastAsia="Arial" w:hAnsi="Arial"/>
                <w:sz w:val="14"/>
                <w:szCs w:val="14"/>
                <w:color w:val="auto"/>
              </w:rPr>
              <w:t>HQY</w:t>
            </w:r>
          </w:p>
        </w:tc>
        <w:tc>
          <w:tcPr>
            <w:tcW w:w="340" w:type="dxa"/>
            <w:vAlign w:val="bottom"/>
          </w:tcPr>
          <w:p>
            <w:pPr>
              <w:spacing w:after="0"/>
              <w:rPr>
                <w:sz w:val="16"/>
                <w:szCs w:val="16"/>
                <w:color w:val="auto"/>
              </w:rPr>
            </w:pPr>
          </w:p>
        </w:tc>
        <w:tc>
          <w:tcPr>
            <w:tcW w:w="3380" w:type="dxa"/>
            <w:vAlign w:val="bottom"/>
          </w:tcPr>
          <w:p>
            <w:pPr>
              <w:jc w:val="center"/>
              <w:ind w:right="708"/>
              <w:spacing w:after="0"/>
              <w:rPr>
                <w:sz w:val="20"/>
                <w:szCs w:val="20"/>
                <w:color w:val="auto"/>
              </w:rPr>
            </w:pPr>
            <w:r>
              <w:rPr>
                <w:rFonts w:ascii="Arial" w:cs="Arial" w:eastAsia="Arial" w:hAnsi="Arial"/>
                <w:sz w:val="14"/>
                <w:szCs w:val="14"/>
                <w:color w:val="auto"/>
              </w:rPr>
              <w:t>The NASDAQ Global Select Market</w:t>
            </w:r>
          </w:p>
        </w:tc>
      </w:tr>
    </w:tbl>
    <w:p>
      <w:pPr>
        <w:spacing w:after="0" w:line="93"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5" w:lineRule="exact"/>
        <w:rPr>
          <w:sz w:val="24"/>
          <w:szCs w:val="24"/>
          <w:color w:val="auto"/>
        </w:rPr>
      </w:pPr>
    </w:p>
    <w:p>
      <w:pPr>
        <w:ind w:right="64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9" w:lineRule="exact"/>
        <w:rPr>
          <w:sz w:val="24"/>
          <w:szCs w:val="24"/>
          <w:color w:val="auto"/>
        </w:rPr>
      </w:pPr>
    </w:p>
    <w:p>
      <w:pPr>
        <w:ind w:right="22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60" w:type="dxa"/>
            <w:vAlign w:val="bottom"/>
          </w:tcPr>
          <w:p>
            <w:pPr>
              <w:ind w:left="32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60" w:type="dxa"/>
            <w:vAlign w:val="bottom"/>
          </w:tcPr>
          <w:p>
            <w:pPr>
              <w:ind w:left="32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6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5360" w:type="dxa"/>
            <w:vAlign w:val="bottom"/>
          </w:tcPr>
          <w:p>
            <w:pPr>
              <w:ind w:left="320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ind w:right="26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5" w:lineRule="exact"/>
        <w:rPr>
          <w:sz w:val="24"/>
          <w:szCs w:val="24"/>
          <w:color w:val="auto"/>
        </w:rPr>
      </w:pPr>
    </w:p>
    <w:p>
      <w:pPr>
        <w:spacing w:after="0"/>
        <w:rPr>
          <w:sz w:val="20"/>
          <w:szCs w:val="20"/>
          <w:color w:val="auto"/>
        </w:rPr>
      </w:pPr>
      <w:r>
        <w:rPr>
          <w:rFonts w:ascii="Arial" w:cs="Arial" w:eastAsia="Arial" w:hAnsi="Arial"/>
          <w:sz w:val="14"/>
          <w:szCs w:val="14"/>
          <w:color w:val="auto"/>
        </w:rPr>
        <w:t>As of May 20, 2026, there were 83,602,157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66675</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HealthEquity, Inc. and subsidiaries</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Form 10-Q quarterly report</w:t>
      </w: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0100" w:type="dxa"/>
            <w:vAlign w:val="bottom"/>
            <w:gridSpan w:val="15"/>
            <w:vMerge w:val="restart"/>
          </w:tcPr>
          <w:p>
            <w:pPr>
              <w:spacing w:after="0"/>
              <w:rPr>
                <w:sz w:val="20"/>
                <w:szCs w:val="20"/>
                <w:color w:val="auto"/>
              </w:rPr>
            </w:pPr>
            <w:r>
              <w:rPr>
                <w:rFonts w:ascii="Arial" w:cs="Arial" w:eastAsia="Arial" w:hAnsi="Arial"/>
                <w:sz w:val="16"/>
                <w:szCs w:val="16"/>
                <w:color w:val="auto"/>
              </w:rPr>
              <w:t>Part I. FINANCIAL INFORMATION</w:t>
            </w: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8"/>
        </w:trPr>
        <w:tc>
          <w:tcPr>
            <w:tcW w:w="10100" w:type="dxa"/>
            <w:vAlign w:val="bottom"/>
            <w:gridSpan w:val="15"/>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960" w:type="dxa"/>
            <w:vAlign w:val="bottom"/>
          </w:tcPr>
          <w:p>
            <w:pPr>
              <w:spacing w:after="0" w:line="178" w:lineRule="exact"/>
              <w:rPr>
                <w:sz w:val="20"/>
                <w:szCs w:val="20"/>
                <w:color w:val="auto"/>
              </w:rPr>
            </w:pPr>
            <w:r>
              <w:rPr>
                <w:rFonts w:ascii="Arial" w:cs="Arial" w:eastAsia="Arial" w:hAnsi="Arial"/>
                <w:sz w:val="16"/>
                <w:szCs w:val="16"/>
                <w:color w:val="auto"/>
              </w:rPr>
              <w:t>Item 1.</w:t>
            </w:r>
          </w:p>
        </w:tc>
        <w:tc>
          <w:tcPr>
            <w:tcW w:w="1500" w:type="dxa"/>
            <w:vAlign w:val="bottom"/>
            <w:tcBorders>
              <w:bottom w:val="single" w:sz="8" w:color="0000FF"/>
            </w:tcBorders>
            <w:gridSpan w:val="6"/>
          </w:tcPr>
          <w:p>
            <w:pPr>
              <w:spacing w:after="0" w:line="178" w:lineRule="exact"/>
              <w:rPr>
                <w:sz w:val="20"/>
                <w:szCs w:val="20"/>
                <w:color w:val="auto"/>
              </w:rPr>
            </w:pPr>
            <w:r>
              <w:rPr>
                <w:rFonts w:ascii="Arial" w:cs="Arial" w:eastAsia="Arial" w:hAnsi="Arial"/>
                <w:sz w:val="16"/>
                <w:szCs w:val="16"/>
                <w:color w:val="0000FF"/>
              </w:rPr>
              <w:t>Financial statements</w:t>
            </w:r>
          </w:p>
        </w:tc>
        <w:tc>
          <w:tcPr>
            <w:tcW w:w="7640" w:type="dxa"/>
            <w:vAlign w:val="bottom"/>
            <w:gridSpan w:val="8"/>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840" w:type="dxa"/>
            <w:vAlign w:val="bottom"/>
            <w:gridSpan w:val="11"/>
          </w:tcPr>
          <w:p>
            <w:pPr>
              <w:spacing w:after="0"/>
              <w:rPr>
                <w:sz w:val="20"/>
                <w:szCs w:val="20"/>
                <w:color w:val="auto"/>
              </w:rPr>
            </w:pPr>
            <w:r>
              <w:rPr>
                <w:rFonts w:ascii="Arial" w:cs="Arial" w:eastAsia="Arial" w:hAnsi="Arial"/>
                <w:sz w:val="16"/>
                <w:szCs w:val="16"/>
                <w:color w:val="0000FF"/>
              </w:rPr>
              <w:t>Condensed consolidated balance sheets as of April 30, 2026 (unaudited) and January 31, 2026</w:t>
            </w:r>
          </w:p>
        </w:tc>
        <w:tc>
          <w:tcPr>
            <w:tcW w:w="2300" w:type="dxa"/>
            <w:vAlign w:val="bottom"/>
            <w:gridSpan w:val="3"/>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14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operations for the three months ended April 30, 2026 and 2025 (unaudited)</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14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comprehensive income for the three months ended April 30, 2026 and 2025 (unaudited)</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14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stockholders' equity for the three months ended April 30, 2026 and 2025 (unaudited)</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880" w:type="dxa"/>
            <w:vAlign w:val="bottom"/>
            <w:gridSpan w:val="13"/>
          </w:tcPr>
          <w:p>
            <w:pPr>
              <w:spacing w:after="0"/>
              <w:rPr>
                <w:sz w:val="20"/>
                <w:szCs w:val="20"/>
                <w:color w:val="auto"/>
              </w:rPr>
            </w:pPr>
            <w:r>
              <w:rPr>
                <w:rFonts w:ascii="Arial" w:cs="Arial" w:eastAsia="Arial" w:hAnsi="Arial"/>
                <w:sz w:val="16"/>
                <w:szCs w:val="16"/>
                <w:color w:val="0000FF"/>
              </w:rPr>
              <w:t>Condensed consolidated statements of cash flows for the three months ended April 30, 2026 and 2025 (unaudited)</w:t>
            </w:r>
          </w:p>
        </w:tc>
        <w:tc>
          <w:tcPr>
            <w:tcW w:w="26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220" w:type="dxa"/>
            <w:vAlign w:val="bottom"/>
            <w:gridSpan w:val="12"/>
          </w:tcPr>
          <w:p>
            <w:pPr>
              <w:spacing w:after="0"/>
              <w:rPr>
                <w:sz w:val="20"/>
                <w:szCs w:val="20"/>
                <w:color w:val="auto"/>
              </w:rPr>
            </w:pPr>
            <w:r>
              <w:rPr>
                <w:rFonts w:ascii="Arial" w:cs="Arial" w:eastAsia="Arial" w:hAnsi="Arial"/>
                <w:sz w:val="16"/>
                <w:szCs w:val="16"/>
                <w:color w:val="0000FF"/>
              </w:rPr>
              <w:t>Notes to condensed consolidated financial statements (unaudited)</w:t>
            </w:r>
          </w:p>
        </w:tc>
        <w:tc>
          <w:tcPr>
            <w:tcW w:w="920" w:type="dxa"/>
            <w:vAlign w:val="bottom"/>
            <w:gridSpan w:val="2"/>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Item 2.</w:t>
            </w:r>
          </w:p>
        </w:tc>
        <w:tc>
          <w:tcPr>
            <w:tcW w:w="9140" w:type="dxa"/>
            <w:vAlign w:val="bottom"/>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19</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Item 3.</w:t>
            </w:r>
          </w:p>
        </w:tc>
        <w:tc>
          <w:tcPr>
            <w:tcW w:w="614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0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33</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rPr>
              <w:t>Controls and procedures</w:t>
            </w:r>
          </w:p>
        </w:tc>
        <w:tc>
          <w:tcPr>
            <w:tcW w:w="2320" w:type="dxa"/>
            <w:vAlign w:val="bottom"/>
            <w:tcBorders>
              <w:top w:val="single" w:sz="8" w:color="0000FF"/>
            </w:tcBorders>
          </w:tcPr>
          <w:p>
            <w:pPr>
              <w:spacing w:after="0"/>
              <w:rPr>
                <w:sz w:val="17"/>
                <w:szCs w:val="17"/>
                <w:color w:val="auto"/>
              </w:rPr>
            </w:pPr>
          </w:p>
        </w:tc>
        <w:tc>
          <w:tcPr>
            <w:tcW w:w="504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34</w:t>
            </w:r>
          </w:p>
        </w:tc>
        <w:tc>
          <w:tcPr>
            <w:tcW w:w="0" w:type="dxa"/>
            <w:vAlign w:val="bottom"/>
          </w:tcPr>
          <w:p>
            <w:pPr>
              <w:spacing w:after="0"/>
              <w:rPr>
                <w:sz w:val="1"/>
                <w:szCs w:val="1"/>
                <w:color w:val="auto"/>
              </w:rPr>
            </w:pPr>
          </w:p>
        </w:tc>
      </w:tr>
      <w:tr>
        <w:trPr>
          <w:trHeight w:val="235"/>
        </w:trPr>
        <w:tc>
          <w:tcPr>
            <w:tcW w:w="10100" w:type="dxa"/>
            <w:vAlign w:val="bottom"/>
            <w:gridSpan w:val="15"/>
          </w:tcPr>
          <w:p>
            <w:pPr>
              <w:spacing w:after="0"/>
              <w:rPr>
                <w:sz w:val="20"/>
                <w:szCs w:val="20"/>
                <w:color w:val="auto"/>
              </w:rPr>
            </w:pPr>
            <w:r>
              <w:rPr>
                <w:rFonts w:ascii="Arial" w:cs="Arial" w:eastAsia="Arial" w:hAnsi="Arial"/>
                <w:sz w:val="16"/>
                <w:szCs w:val="16"/>
                <w:color w:val="auto"/>
              </w:rPr>
              <w:t>Part II. OTHER INFORMATION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spacing w:after="0" w:line="178" w:lineRule="exact"/>
              <w:rPr>
                <w:sz w:val="20"/>
                <w:szCs w:val="20"/>
                <w:color w:val="auto"/>
              </w:rPr>
            </w:pPr>
            <w:r>
              <w:rPr>
                <w:rFonts w:ascii="Arial" w:cs="Arial" w:eastAsia="Arial" w:hAnsi="Arial"/>
                <w:sz w:val="16"/>
                <w:szCs w:val="16"/>
                <w:color w:val="auto"/>
              </w:rPr>
              <w:t>Item 1.</w:t>
            </w:r>
          </w:p>
        </w:tc>
        <w:tc>
          <w:tcPr>
            <w:tcW w:w="9140" w:type="dxa"/>
            <w:vAlign w:val="bottom"/>
            <w:gridSpan w:val="14"/>
          </w:tcPr>
          <w:p>
            <w:pPr>
              <w:spacing w:after="0" w:line="178" w:lineRule="exact"/>
              <w:rPr>
                <w:sz w:val="20"/>
                <w:szCs w:val="20"/>
                <w:color w:val="auto"/>
              </w:rPr>
            </w:pPr>
            <w:r>
              <w:rPr>
                <w:rFonts w:ascii="Arial" w:cs="Arial" w:eastAsia="Arial" w:hAnsi="Arial"/>
                <w:sz w:val="16"/>
                <w:szCs w:val="16"/>
                <w:color w:val="0000FF"/>
              </w:rPr>
              <w:t>Legal proceedings</w:t>
            </w:r>
          </w:p>
        </w:tc>
        <w:tc>
          <w:tcPr>
            <w:tcW w:w="1100" w:type="dxa"/>
            <w:vAlign w:val="bottom"/>
            <w:gridSpan w:val="3"/>
          </w:tcPr>
          <w:p>
            <w:pPr>
              <w:jc w:val="right"/>
              <w:spacing w:after="0" w:line="178" w:lineRule="exact"/>
              <w:rPr>
                <w:sz w:val="20"/>
                <w:szCs w:val="20"/>
                <w:color w:val="auto"/>
              </w:rPr>
            </w:pPr>
            <w:r>
              <w:rPr>
                <w:rFonts w:ascii="Arial" w:cs="Arial" w:eastAsia="Arial" w:hAnsi="Arial"/>
                <w:sz w:val="16"/>
                <w:szCs w:val="16"/>
                <w:color w:val="0000FF"/>
              </w:rPr>
              <w:t>36</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Item 1A.</w:t>
            </w:r>
          </w:p>
        </w:tc>
        <w:tc>
          <w:tcPr>
            <w:tcW w:w="8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rPr>
              <w:t>Risk factors</w:t>
            </w:r>
          </w:p>
        </w:tc>
        <w:tc>
          <w:tcPr>
            <w:tcW w:w="460" w:type="dxa"/>
            <w:vAlign w:val="bottom"/>
            <w:tcBorders>
              <w:top w:val="single" w:sz="8" w:color="0000FF"/>
            </w:tcBorders>
            <w:gridSpan w:val="2"/>
          </w:tcPr>
          <w:p>
            <w:pPr>
              <w:spacing w:after="0"/>
              <w:rPr>
                <w:sz w:val="17"/>
                <w:szCs w:val="17"/>
                <w:color w:val="auto"/>
              </w:rPr>
            </w:pPr>
          </w:p>
        </w:tc>
        <w:tc>
          <w:tcPr>
            <w:tcW w:w="782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36</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Other information</w:t>
            </w:r>
          </w:p>
        </w:tc>
        <w:tc>
          <w:tcPr>
            <w:tcW w:w="788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36</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Item 6.</w:t>
            </w:r>
          </w:p>
        </w:tc>
        <w:tc>
          <w:tcPr>
            <w:tcW w:w="58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9"/>
              </w:rPr>
              <w:t>Exhibits</w:t>
            </w:r>
          </w:p>
        </w:tc>
        <w:tc>
          <w:tcPr>
            <w:tcW w:w="856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37</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9"/>
              </w:rPr>
              <w:t>Signatures</w:t>
            </w:r>
          </w:p>
        </w:tc>
        <w:tc>
          <w:tcPr>
            <w:tcW w:w="836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Part I.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Condensed 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par value)</w:t>
            </w:r>
          </w:p>
        </w:tc>
        <w:tc>
          <w:tcPr>
            <w:tcW w:w="5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April 30, 2026</w:t>
            </w: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2026</w:t>
            </w:r>
          </w:p>
        </w:tc>
        <w:tc>
          <w:tcPr>
            <w:tcW w:w="0" w:type="dxa"/>
            <w:vAlign w:val="bottom"/>
          </w:tcPr>
          <w:p>
            <w:pPr>
              <w:spacing w:after="0"/>
              <w:rPr>
                <w:sz w:val="1"/>
                <w:szCs w:val="1"/>
                <w:color w:val="auto"/>
              </w:rPr>
            </w:pPr>
          </w:p>
        </w:tc>
      </w:tr>
      <w:tr>
        <w:trPr>
          <w:trHeight w:val="197"/>
        </w:trPr>
        <w:tc>
          <w:tcPr>
            <w:tcW w:w="7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(unaudited)</w:t>
            </w: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265,369</w:t>
            </w:r>
          </w:p>
        </w:tc>
        <w:tc>
          <w:tcPr>
            <w:tcW w:w="8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318,927</w:t>
            </w: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Accounts receivable, net of allowance for doubtful accounts of $953 and $924 as of April 30, 2026 and</w:t>
            </w:r>
          </w:p>
        </w:tc>
        <w:tc>
          <w:tcPr>
            <w:tcW w:w="56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122,003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123,696</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31, 2026, respectively</w:t>
            </w:r>
          </w:p>
        </w:tc>
        <w:tc>
          <w:tcPr>
            <w:tcW w:w="56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79,156</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69,658</w:t>
            </w:r>
          </w:p>
        </w:tc>
        <w:tc>
          <w:tcPr>
            <w:tcW w:w="0" w:type="dxa"/>
            <w:vAlign w:val="bottom"/>
          </w:tcPr>
          <w:p>
            <w:pPr>
              <w:spacing w:after="0"/>
              <w:rPr>
                <w:sz w:val="1"/>
                <w:szCs w:val="1"/>
                <w:color w:val="auto"/>
              </w:rPr>
            </w:pPr>
          </w:p>
        </w:tc>
      </w:tr>
      <w:tr>
        <w:trPr>
          <w:trHeight w:val="200"/>
        </w:trPr>
        <w:tc>
          <w:tcPr>
            <w:tcW w:w="7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assets</w:t>
            </w:r>
          </w:p>
        </w:tc>
        <w:tc>
          <w:tcPr>
            <w:tcW w:w="5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466,528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512,281</w:t>
            </w:r>
          </w:p>
        </w:tc>
        <w:tc>
          <w:tcPr>
            <w:tcW w:w="0" w:type="dxa"/>
            <w:vAlign w:val="bottom"/>
          </w:tcPr>
          <w:p>
            <w:pPr>
              <w:spacing w:after="0"/>
              <w:rPr>
                <w:sz w:val="1"/>
                <w:szCs w:val="1"/>
                <w:color w:val="auto"/>
              </w:rPr>
            </w:pPr>
          </w:p>
        </w:tc>
      </w:tr>
      <w:tr>
        <w:trPr>
          <w:trHeight w:val="192"/>
        </w:trPr>
        <w:tc>
          <w:tcPr>
            <w:tcW w:w="7200" w:type="dxa"/>
            <w:vAlign w:val="bottom"/>
          </w:tcPr>
          <w:p>
            <w:pPr>
              <w:ind w:left="140"/>
              <w:spacing w:after="0"/>
              <w:rPr>
                <w:sz w:val="20"/>
                <w:szCs w:val="20"/>
                <w:color w:val="auto"/>
              </w:rPr>
            </w:pPr>
            <w:r>
              <w:rPr>
                <w:rFonts w:ascii="Arial" w:cs="Arial" w:eastAsia="Arial" w:hAnsi="Arial"/>
                <w:sz w:val="14"/>
                <w:szCs w:val="14"/>
                <w:color w:val="auto"/>
              </w:rPr>
              <w:t>Property and equipment, net</w:t>
            </w:r>
          </w:p>
        </w:tc>
        <w:tc>
          <w:tcPr>
            <w:tcW w:w="5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3,800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3,177</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right-of-use assets</w:t>
            </w: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34,578</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36,310</w:t>
            </w:r>
          </w:p>
        </w:tc>
        <w:tc>
          <w:tcPr>
            <w:tcW w:w="0" w:type="dxa"/>
            <w:vAlign w:val="bottom"/>
          </w:tcPr>
          <w:p>
            <w:pPr>
              <w:spacing w:after="0"/>
              <w:rPr>
                <w:sz w:val="1"/>
                <w:szCs w:val="1"/>
                <w:color w:val="auto"/>
              </w:rPr>
            </w:pP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Intangible assets, net</w:t>
            </w:r>
          </w:p>
        </w:tc>
        <w:tc>
          <w:tcPr>
            <w:tcW w:w="56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1,073,045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1,097,172</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1,648,145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1,648,145</w:t>
            </w:r>
          </w:p>
        </w:tc>
        <w:tc>
          <w:tcPr>
            <w:tcW w:w="0" w:type="dxa"/>
            <w:vAlign w:val="bottom"/>
          </w:tcPr>
          <w:p>
            <w:pPr>
              <w:spacing w:after="0"/>
              <w:rPr>
                <w:sz w:val="1"/>
                <w:szCs w:val="1"/>
                <w:color w:val="auto"/>
              </w:rPr>
            </w:pPr>
          </w:p>
        </w:tc>
      </w:tr>
      <w:tr>
        <w:trPr>
          <w:trHeight w:val="198"/>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assets</w:t>
            </w: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80,090</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83,247</w:t>
            </w:r>
          </w:p>
        </w:tc>
        <w:tc>
          <w:tcPr>
            <w:tcW w:w="0" w:type="dxa"/>
            <w:vAlign w:val="bottom"/>
          </w:tcPr>
          <w:p>
            <w:pPr>
              <w:spacing w:after="0"/>
              <w:rPr>
                <w:sz w:val="1"/>
                <w:szCs w:val="1"/>
                <w:color w:val="auto"/>
              </w:rPr>
            </w:pPr>
          </w:p>
        </w:tc>
      </w:tr>
      <w:tr>
        <w:trPr>
          <w:trHeight w:val="200"/>
        </w:trPr>
        <w:tc>
          <w:tcPr>
            <w:tcW w:w="7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3,306,186</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3,380,332</w:t>
            </w:r>
          </w:p>
        </w:tc>
        <w:tc>
          <w:tcPr>
            <w:tcW w:w="0" w:type="dxa"/>
            <w:vAlign w:val="bottom"/>
          </w:tcPr>
          <w:p>
            <w:pPr>
              <w:spacing w:after="0"/>
              <w:rPr>
                <w:sz w:val="1"/>
                <w:szCs w:val="1"/>
                <w:color w:val="auto"/>
              </w:rPr>
            </w:pPr>
          </w:p>
        </w:tc>
      </w:tr>
      <w:tr>
        <w:trPr>
          <w:trHeight w:val="182"/>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14,219</w:t>
            </w:r>
          </w:p>
        </w:tc>
        <w:tc>
          <w:tcPr>
            <w:tcW w:w="8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12,159</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26,664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60,392</w:t>
            </w:r>
          </w:p>
        </w:tc>
        <w:tc>
          <w:tcPr>
            <w:tcW w:w="0" w:type="dxa"/>
            <w:vAlign w:val="bottom"/>
          </w:tcPr>
          <w:p>
            <w:pPr>
              <w:spacing w:after="0"/>
              <w:rPr>
                <w:sz w:val="1"/>
                <w:szCs w:val="1"/>
                <w:color w:val="auto"/>
              </w:rPr>
            </w:pP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56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84,941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74,388</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5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9,916</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9,911</w:t>
            </w:r>
          </w:p>
        </w:tc>
        <w:tc>
          <w:tcPr>
            <w:tcW w:w="0" w:type="dxa"/>
            <w:vAlign w:val="bottom"/>
          </w:tcPr>
          <w:p>
            <w:pPr>
              <w:spacing w:after="0"/>
              <w:rPr>
                <w:sz w:val="1"/>
                <w:szCs w:val="1"/>
                <w:color w:val="auto"/>
              </w:rPr>
            </w:pPr>
          </w:p>
        </w:tc>
      </w:tr>
      <w:tr>
        <w:trPr>
          <w:trHeight w:val="192"/>
        </w:trPr>
        <w:tc>
          <w:tcPr>
            <w:tcW w:w="720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5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135,740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156,850</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liabilities</w:t>
            </w: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Long-term debt, net of issuance costs</w:t>
            </w:r>
          </w:p>
        </w:tc>
        <w:tc>
          <w:tcPr>
            <w:tcW w:w="56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942,656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957,379</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non-current</w:t>
            </w: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32,110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34,190</w:t>
            </w:r>
          </w:p>
        </w:tc>
        <w:tc>
          <w:tcPr>
            <w:tcW w:w="0" w:type="dxa"/>
            <w:vAlign w:val="bottom"/>
          </w:tcPr>
          <w:p>
            <w:pPr>
              <w:spacing w:after="0"/>
              <w:rPr>
                <w:sz w:val="1"/>
                <w:szCs w:val="1"/>
                <w:color w:val="auto"/>
              </w:rPr>
            </w:pP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Other long-term liabilities</w:t>
            </w:r>
          </w:p>
        </w:tc>
        <w:tc>
          <w:tcPr>
            <w:tcW w:w="56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52,932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31,007</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liability</w:t>
            </w:r>
          </w:p>
        </w:tc>
        <w:tc>
          <w:tcPr>
            <w:tcW w:w="5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95,353</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93,710</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long-term liabilities</w:t>
            </w:r>
          </w:p>
        </w:tc>
        <w:tc>
          <w:tcPr>
            <w:tcW w:w="5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1,123,051</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1,116,286</w:t>
            </w:r>
          </w:p>
        </w:tc>
        <w:tc>
          <w:tcPr>
            <w:tcW w:w="0" w:type="dxa"/>
            <w:vAlign w:val="bottom"/>
          </w:tcPr>
          <w:p>
            <w:pPr>
              <w:spacing w:after="0"/>
              <w:rPr>
                <w:sz w:val="1"/>
                <w:szCs w:val="1"/>
                <w:color w:val="auto"/>
              </w:rPr>
            </w:pPr>
          </w:p>
        </w:tc>
      </w:tr>
      <w:tr>
        <w:trPr>
          <w:trHeight w:val="200"/>
        </w:trPr>
        <w:tc>
          <w:tcPr>
            <w:tcW w:w="7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5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1,258,791</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1,273,136</w:t>
            </w:r>
          </w:p>
        </w:tc>
        <w:tc>
          <w:tcPr>
            <w:tcW w:w="0" w:type="dxa"/>
            <w:vAlign w:val="bottom"/>
          </w:tcPr>
          <w:p>
            <w:pPr>
              <w:spacing w:after="0"/>
              <w:rPr>
                <w:sz w:val="1"/>
                <w:szCs w:val="1"/>
                <w:color w:val="auto"/>
              </w:rPr>
            </w:pPr>
          </w:p>
        </w:tc>
      </w:tr>
      <w:tr>
        <w:trPr>
          <w:trHeight w:val="179"/>
        </w:trPr>
        <w:tc>
          <w:tcPr>
            <w:tcW w:w="7200" w:type="dxa"/>
            <w:vAlign w:val="bottom"/>
          </w:tcPr>
          <w:p>
            <w:pPr>
              <w:ind w:left="20"/>
              <w:spacing w:after="0"/>
              <w:rPr>
                <w:sz w:val="20"/>
                <w:szCs w:val="20"/>
                <w:color w:val="auto"/>
              </w:rPr>
            </w:pPr>
            <w:r>
              <w:rPr>
                <w:rFonts w:ascii="Arial" w:cs="Arial" w:eastAsia="Arial" w:hAnsi="Arial"/>
                <w:sz w:val="14"/>
                <w:szCs w:val="14"/>
                <w:color w:val="auto"/>
              </w:rPr>
              <w:t>Commitments and contingencies (see Note 5)</w:t>
            </w: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$0.0001 par value, 100,000 shares authorized, no shares issued and outstanding as of</w:t>
            </w:r>
          </w:p>
        </w:tc>
        <w:tc>
          <w:tcPr>
            <w:tcW w:w="560" w:type="dxa"/>
            <w:vAlign w:val="bottom"/>
          </w:tcPr>
          <w:p>
            <w:pPr>
              <w:spacing w:after="0"/>
              <w:rPr>
                <w:sz w:val="12"/>
                <w:szCs w:val="12"/>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200" w:type="dxa"/>
            <w:vAlign w:val="bottom"/>
          </w:tcPr>
          <w:p>
            <w:pPr>
              <w:ind w:left="140"/>
              <w:spacing w:after="0"/>
              <w:rPr>
                <w:sz w:val="20"/>
                <w:szCs w:val="20"/>
                <w:color w:val="auto"/>
              </w:rPr>
            </w:pPr>
            <w:r>
              <w:rPr>
                <w:rFonts w:ascii="Arial" w:cs="Arial" w:eastAsia="Arial" w:hAnsi="Arial"/>
                <w:sz w:val="14"/>
                <w:szCs w:val="14"/>
                <w:color w:val="auto"/>
              </w:rPr>
              <w:t>April 30, 2026 and January 31, 2026, respectively</w:t>
            </w:r>
          </w:p>
        </w:tc>
        <w:tc>
          <w:tcPr>
            <w:tcW w:w="5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$0.0001 par value, 900,000 shares authorized, 83,927 and 85,007 shares issued and</w:t>
            </w:r>
          </w:p>
        </w:tc>
        <w:tc>
          <w:tcPr>
            <w:tcW w:w="56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 as of April 30, 2026 and January 31, 2026, respectively</w:t>
            </w:r>
          </w:p>
        </w:tc>
        <w:tc>
          <w:tcPr>
            <w:tcW w:w="56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0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56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1,901,935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1,916,989</w:t>
            </w:r>
          </w:p>
        </w:tc>
        <w:tc>
          <w:tcPr>
            <w:tcW w:w="0" w:type="dxa"/>
            <w:vAlign w:val="bottom"/>
          </w:tcPr>
          <w:p>
            <w:pPr>
              <w:spacing w:after="0"/>
              <w:rPr>
                <w:sz w:val="1"/>
                <w:szCs w:val="1"/>
                <w:color w:val="auto"/>
              </w:rPr>
            </w:pPr>
          </w:p>
        </w:tc>
      </w:tr>
      <w:tr>
        <w:trPr>
          <w:trHeight w:val="20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earnings</w:t>
            </w: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177,204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195,906</w:t>
            </w:r>
          </w:p>
        </w:tc>
        <w:tc>
          <w:tcPr>
            <w:tcW w:w="0" w:type="dxa"/>
            <w:vAlign w:val="bottom"/>
          </w:tcPr>
          <w:p>
            <w:pPr>
              <w:spacing w:after="0"/>
              <w:rPr>
                <w:sz w:val="1"/>
                <w:szCs w:val="1"/>
                <w:color w:val="auto"/>
              </w:rPr>
            </w:pPr>
          </w:p>
        </w:tc>
      </w:tr>
      <w:tr>
        <w:trPr>
          <w:trHeight w:val="198"/>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(31,752)</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(5,707)</w:t>
            </w:r>
          </w:p>
        </w:tc>
        <w:tc>
          <w:tcPr>
            <w:tcW w:w="0" w:type="dxa"/>
            <w:vAlign w:val="bottom"/>
          </w:tcPr>
          <w:p>
            <w:pPr>
              <w:spacing w:after="0"/>
              <w:rPr>
                <w:sz w:val="1"/>
                <w:szCs w:val="1"/>
                <w:color w:val="auto"/>
              </w:rPr>
            </w:pPr>
          </w:p>
        </w:tc>
      </w:tr>
      <w:tr>
        <w:trPr>
          <w:trHeight w:val="200"/>
        </w:trPr>
        <w:tc>
          <w:tcPr>
            <w:tcW w:w="7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5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2,047,395</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2,107,196</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liabilities and stockholders’ equity</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3,306,186</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3,380,332</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Condensed consolidated statements of operations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4"/>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9"/>
        </w:trPr>
        <w:tc>
          <w:tcPr>
            <w:tcW w:w="7200" w:type="dxa"/>
            <w:vAlign w:val="bottom"/>
          </w:tcPr>
          <w:p>
            <w:pPr>
              <w:ind w:left="140"/>
              <w:spacing w:after="0"/>
              <w:rPr>
                <w:sz w:val="20"/>
                <w:szCs w:val="20"/>
                <w:color w:val="auto"/>
              </w:rPr>
            </w:pPr>
            <w:r>
              <w:rPr>
                <w:rFonts w:ascii="Arial" w:cs="Arial" w:eastAsia="Arial" w:hAnsi="Arial"/>
                <w:sz w:val="14"/>
                <w:szCs w:val="14"/>
                <w:color w:val="auto"/>
              </w:rPr>
              <w:t>Service revenue</w:t>
            </w: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122,932</w:t>
            </w:r>
          </w:p>
        </w:tc>
        <w:tc>
          <w:tcPr>
            <w:tcW w:w="8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119,784</w:t>
            </w:r>
          </w:p>
        </w:tc>
      </w:tr>
      <w:tr>
        <w:trPr>
          <w:trHeight w:val="206"/>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Custodial revenue</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174,334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156,455</w:t>
            </w:r>
          </w:p>
        </w:tc>
      </w:tr>
      <w:tr>
        <w:trPr>
          <w:trHeight w:val="199"/>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Interchange revenue</w:t>
            </w: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57,375</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54,605</w:t>
            </w:r>
          </w:p>
        </w:tc>
      </w:tr>
      <w:tr>
        <w:trPr>
          <w:trHeight w:val="200"/>
        </w:trPr>
        <w:tc>
          <w:tcPr>
            <w:tcW w:w="7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revenue</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354,641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330,844</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costs</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78,326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88,005</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Custodial costs</w:t>
            </w:r>
          </w:p>
        </w:tc>
        <w:tc>
          <w:tcPr>
            <w:tcW w:w="74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11,655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10,747</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Interchange costs</w:t>
            </w:r>
          </w:p>
        </w:tc>
        <w:tc>
          <w:tcPr>
            <w:tcW w:w="7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8,348</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7,781</w:t>
            </w:r>
          </w:p>
        </w:tc>
      </w:tr>
      <w:tr>
        <w:trPr>
          <w:trHeight w:val="192"/>
        </w:trPr>
        <w:tc>
          <w:tcPr>
            <w:tcW w:w="72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cost of revenue</w:t>
            </w: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98,329</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106,533</w:t>
            </w:r>
          </w:p>
        </w:tc>
      </w:tr>
      <w:tr>
        <w:trPr>
          <w:trHeight w:val="200"/>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256,312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224,311</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26,833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25,984</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Technology and development</w:t>
            </w:r>
          </w:p>
        </w:tc>
        <w:tc>
          <w:tcPr>
            <w:tcW w:w="74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67,767</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61,436</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31,131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25,536</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74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26,515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27,002</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Merger integration</w:t>
            </w:r>
          </w:p>
        </w:tc>
        <w:tc>
          <w:tcPr>
            <w:tcW w:w="7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1,113</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w:t>
            </w:r>
          </w:p>
        </w:tc>
      </w:tr>
      <w:tr>
        <w:trPr>
          <w:trHeight w:val="192"/>
        </w:trPr>
        <w:tc>
          <w:tcPr>
            <w:tcW w:w="72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operating expenses</w:t>
            </w: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153,359</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141,233</w:t>
            </w:r>
          </w:p>
        </w:tc>
      </w:tr>
      <w:tr>
        <w:trPr>
          <w:trHeight w:val="200"/>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102,953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83,078</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(14,858)</w:t>
            </w:r>
          </w:p>
        </w:tc>
      </w:tr>
      <w:tr>
        <w:trPr>
          <w:trHeight w:val="198"/>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net</w:t>
            </w: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2,048</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2,733</w:t>
            </w:r>
          </w:p>
        </w:tc>
      </w:tr>
      <w:tr>
        <w:trPr>
          <w:trHeight w:val="200"/>
        </w:trPr>
        <w:tc>
          <w:tcPr>
            <w:tcW w:w="7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other expense</w:t>
            </w:r>
          </w:p>
        </w:tc>
        <w:tc>
          <w:tcPr>
            <w:tcW w:w="7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(10,540)</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(12,125)</w:t>
            </w:r>
          </w:p>
        </w:tc>
      </w:tr>
      <w:tr>
        <w:trPr>
          <w:trHeight w:val="192"/>
        </w:trPr>
        <w:tc>
          <w:tcPr>
            <w:tcW w:w="72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74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92,413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70,953</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w:t>
            </w:r>
          </w:p>
        </w:tc>
        <w:tc>
          <w:tcPr>
            <w:tcW w:w="7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22,995</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17,038</w:t>
            </w:r>
          </w:p>
        </w:tc>
      </w:tr>
      <w:tr>
        <w:trPr>
          <w:trHeight w:val="192"/>
        </w:trPr>
        <w:tc>
          <w:tcPr>
            <w:tcW w:w="72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69,418</w:t>
            </w:r>
          </w:p>
        </w:tc>
        <w:tc>
          <w:tcPr>
            <w:tcW w:w="8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53,915</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Basic</w:t>
            </w: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0.82</w:t>
            </w:r>
          </w:p>
        </w:tc>
        <w:tc>
          <w:tcPr>
            <w:tcW w:w="8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0.62</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0.82</w:t>
            </w:r>
          </w:p>
        </w:tc>
        <w:tc>
          <w:tcPr>
            <w:tcW w:w="84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Weighted-average number of shares used in computing net income per share:</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84,413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86,655</w:t>
            </w:r>
          </w:p>
        </w:tc>
      </w:tr>
      <w:tr>
        <w:trPr>
          <w:trHeight w:val="198"/>
        </w:trPr>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Diluted</w:t>
            </w: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85,006</w:t>
            </w: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88,415</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Condensed consolidated statements of comprehensive income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69,418</w:t>
            </w: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53,915</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flow hedges</w:t>
            </w: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8"/>
        </w:trPr>
        <w:tc>
          <w:tcPr>
            <w:tcW w:w="7200" w:type="dxa"/>
            <w:vAlign w:val="bottom"/>
          </w:tcPr>
          <w:p>
            <w:pPr>
              <w:ind w:left="360"/>
              <w:spacing w:after="0"/>
              <w:rPr>
                <w:sz w:val="20"/>
                <w:szCs w:val="20"/>
                <w:color w:val="auto"/>
              </w:rPr>
            </w:pPr>
            <w:r>
              <w:rPr>
                <w:rFonts w:ascii="Arial" w:cs="Arial" w:eastAsia="Arial" w:hAnsi="Arial"/>
                <w:sz w:val="14"/>
                <w:szCs w:val="14"/>
                <w:color w:val="auto"/>
              </w:rPr>
              <w:t>Net unrealized losses</w:t>
            </w: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(25,897)</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Reclassification of net gains included in net income</w:t>
            </w: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change, net of income tax benefit of $8,463 for the three months ended April 30, 2026</w:t>
            </w: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(26,045)</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loss</w:t>
            </w: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(26,045)</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Comprehensive income</w:t>
            </w: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43,373</w:t>
            </w:r>
          </w:p>
        </w:tc>
        <w:tc>
          <w:tcPr>
            <w:tcW w:w="8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53,915</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Condensed consolidated statements of stockholders’ equity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 beginning balance</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2,107,196</w:t>
            </w:r>
          </w:p>
        </w:tc>
        <w:tc>
          <w:tcPr>
            <w:tcW w:w="78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2,114,911</w:t>
            </w:r>
          </w:p>
        </w:tc>
      </w:tr>
      <w:tr>
        <w:trPr>
          <w:trHeight w:val="254"/>
        </w:trPr>
        <w:tc>
          <w:tcPr>
            <w:tcW w:w="72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9"/>
        </w:trPr>
        <w:tc>
          <w:tcPr>
            <w:tcW w:w="7200" w:type="dxa"/>
            <w:vAlign w:val="bottom"/>
          </w:tcPr>
          <w:p>
            <w:pPr>
              <w:ind w:left="140"/>
              <w:spacing w:after="0"/>
              <w:rPr>
                <w:sz w:val="20"/>
                <w:szCs w:val="20"/>
                <w:color w:val="auto"/>
              </w:rPr>
            </w:pPr>
            <w:r>
              <w:rPr>
                <w:rFonts w:ascii="Arial" w:cs="Arial" w:eastAsia="Arial" w:hAnsi="Arial"/>
                <w:sz w:val="14"/>
                <w:szCs w:val="14"/>
                <w:color w:val="auto"/>
              </w:rPr>
              <w:t>Beginning balance</w:t>
            </w:r>
          </w:p>
        </w:tc>
        <w:tc>
          <w:tcPr>
            <w:tcW w:w="6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6"/>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w:t>
            </w:r>
          </w:p>
        </w:tc>
        <w:tc>
          <w:tcPr>
            <w:tcW w:w="6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Ending balance</w:t>
            </w:r>
          </w:p>
        </w:tc>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54"/>
        </w:trPr>
        <w:tc>
          <w:tcPr>
            <w:tcW w:w="7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Beginning balance</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1,916,989</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1,905,628</w:t>
            </w:r>
          </w:p>
        </w:tc>
      </w:tr>
      <w:tr>
        <w:trPr>
          <w:trHeight w:val="198"/>
        </w:trPr>
        <w:tc>
          <w:tcPr>
            <w:tcW w:w="7200" w:type="dxa"/>
            <w:vAlign w:val="bottom"/>
          </w:tcPr>
          <w:p>
            <w:pPr>
              <w:ind w:left="220"/>
              <w:spacing w:after="0"/>
              <w:rPr>
                <w:sz w:val="20"/>
                <w:szCs w:val="20"/>
                <w:color w:val="auto"/>
              </w:rPr>
            </w:pPr>
            <w:r>
              <w:rPr>
                <w:rFonts w:ascii="Arial" w:cs="Arial" w:eastAsia="Arial" w:hAnsi="Arial"/>
                <w:sz w:val="14"/>
                <w:szCs w:val="14"/>
                <w:color w:val="auto"/>
              </w:rPr>
              <w:t>Issuance of common stock</w:t>
            </w:r>
          </w:p>
        </w:tc>
        <w:tc>
          <w:tcPr>
            <w:tcW w:w="6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955</w:t>
            </w:r>
          </w:p>
        </w:tc>
      </w:tr>
      <w:tr>
        <w:trPr>
          <w:trHeight w:val="207"/>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19,406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14,336</w:t>
            </w:r>
          </w:p>
        </w:tc>
      </w:tr>
      <w:tr>
        <w:trPr>
          <w:trHeight w:val="198"/>
        </w:trPr>
        <w:tc>
          <w:tcPr>
            <w:tcW w:w="72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Repurchases of common stock</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(34,878)</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(15,475)</w:t>
            </w:r>
          </w:p>
        </w:tc>
      </w:tr>
      <w:tr>
        <w:trPr>
          <w:trHeight w:val="196"/>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Ending balance</w:t>
            </w:r>
          </w:p>
        </w:tc>
        <w:tc>
          <w:tcPr>
            <w:tcW w:w="6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1,901,935</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1,905,444</w:t>
            </w:r>
          </w:p>
        </w:tc>
      </w:tr>
      <w:tr>
        <w:trPr>
          <w:trHeight w:val="254"/>
        </w:trPr>
        <w:tc>
          <w:tcPr>
            <w:tcW w:w="7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earnings:</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Beginning balance</w:t>
            </w:r>
          </w:p>
        </w:tc>
        <w:tc>
          <w:tcPr>
            <w:tcW w:w="68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195,906</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209,274</w:t>
            </w:r>
          </w:p>
        </w:tc>
      </w:tr>
      <w:tr>
        <w:trPr>
          <w:trHeight w:val="207"/>
        </w:trPr>
        <w:tc>
          <w:tcPr>
            <w:tcW w:w="7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Repurchases of common stock</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(88,120)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(44,836)</w:t>
            </w:r>
          </w:p>
        </w:tc>
      </w:tr>
      <w:tr>
        <w:trPr>
          <w:trHeight w:val="198"/>
        </w:trPr>
        <w:tc>
          <w:tcPr>
            <w:tcW w:w="7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income</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69,418</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53,915</w:t>
            </w:r>
          </w:p>
        </w:tc>
      </w:tr>
      <w:tr>
        <w:trPr>
          <w:trHeight w:val="196"/>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Ending balance</w:t>
            </w:r>
          </w:p>
        </w:tc>
        <w:tc>
          <w:tcPr>
            <w:tcW w:w="6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177,204</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218,353</w:t>
            </w:r>
          </w:p>
        </w:tc>
      </w:tr>
      <w:tr>
        <w:trPr>
          <w:trHeight w:val="240"/>
        </w:trPr>
        <w:tc>
          <w:tcPr>
            <w:tcW w:w="7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9"/>
        </w:trPr>
        <w:tc>
          <w:tcPr>
            <w:tcW w:w="7200" w:type="dxa"/>
            <w:vAlign w:val="bottom"/>
          </w:tcPr>
          <w:p>
            <w:pPr>
              <w:ind w:left="140"/>
              <w:spacing w:after="0"/>
              <w:rPr>
                <w:sz w:val="20"/>
                <w:szCs w:val="20"/>
                <w:color w:val="auto"/>
              </w:rPr>
            </w:pPr>
            <w:r>
              <w:rPr>
                <w:rFonts w:ascii="Arial" w:cs="Arial" w:eastAsia="Arial" w:hAnsi="Arial"/>
                <w:sz w:val="14"/>
                <w:szCs w:val="14"/>
                <w:color w:val="auto"/>
              </w:rPr>
              <w:t>Beginning balance</w:t>
            </w:r>
          </w:p>
        </w:tc>
        <w:tc>
          <w:tcPr>
            <w:tcW w:w="6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(5,707)</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6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(26,045)</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Ending balance</w:t>
            </w:r>
          </w:p>
        </w:tc>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(31,752)</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54"/>
        </w:trPr>
        <w:tc>
          <w:tcPr>
            <w:tcW w:w="72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r>
      <w:tr>
        <w:trPr>
          <w:trHeight w:val="192"/>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stockholders' equity, ending balance</w:t>
            </w: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2,047,395</w:t>
            </w:r>
          </w:p>
        </w:tc>
        <w:tc>
          <w:tcPr>
            <w:tcW w:w="7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2,123,806</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Condensed consolidated statements of cash flows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69,418</w:t>
            </w:r>
          </w:p>
        </w:tc>
        <w:tc>
          <w:tcPr>
            <w:tcW w:w="8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53,915</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38,214</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38,741</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19,406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14,336</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Amortization of debt discount and issuance costs</w:t>
            </w:r>
          </w:p>
        </w:tc>
        <w:tc>
          <w:tcPr>
            <w:tcW w:w="7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gains on derivatives</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7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10,106</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1,324</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200" w:type="dxa"/>
            <w:vAlign w:val="bottom"/>
          </w:tcPr>
          <w:p>
            <w:pPr>
              <w:ind w:left="260"/>
              <w:spacing w:after="0"/>
              <w:rPr>
                <w:sz w:val="20"/>
                <w:szCs w:val="20"/>
                <w:color w:val="auto"/>
              </w:rPr>
            </w:pPr>
            <w:r>
              <w:rPr>
                <w:rFonts w:ascii="Arial" w:cs="Arial" w:eastAsia="Arial" w:hAnsi="Arial"/>
                <w:sz w:val="14"/>
                <w:szCs w:val="14"/>
                <w:color w:val="auto"/>
              </w:rPr>
              <w:t>Accounts receivable, net</w:t>
            </w:r>
          </w:p>
        </w:tc>
        <w:tc>
          <w:tcPr>
            <w:tcW w:w="7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1,693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1,750</w:t>
            </w:r>
          </w:p>
        </w:tc>
      </w:tr>
      <w:tr>
        <w:trPr>
          <w:trHeight w:val="207"/>
        </w:trPr>
        <w:tc>
          <w:tcPr>
            <w:tcW w:w="7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Prepaid expenses and other current and non-current assets</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(5,702)</w:t>
            </w:r>
          </w:p>
        </w:tc>
      </w:tr>
      <w:tr>
        <w:trPr>
          <w:trHeight w:val="198"/>
        </w:trPr>
        <w:tc>
          <w:tcPr>
            <w:tcW w:w="7200" w:type="dxa"/>
            <w:vAlign w:val="bottom"/>
          </w:tcPr>
          <w:p>
            <w:pPr>
              <w:ind w:left="260"/>
              <w:spacing w:after="0"/>
              <w:rPr>
                <w:sz w:val="20"/>
                <w:szCs w:val="20"/>
                <w:color w:val="auto"/>
              </w:rPr>
            </w:pPr>
            <w:r>
              <w:rPr>
                <w:rFonts w:ascii="Arial" w:cs="Arial" w:eastAsia="Arial" w:hAnsi="Arial"/>
                <w:sz w:val="14"/>
                <w:szCs w:val="14"/>
                <w:color w:val="auto"/>
              </w:rPr>
              <w:t>Operating lease right-of-use assets</w:t>
            </w:r>
          </w:p>
        </w:tc>
        <w:tc>
          <w:tcPr>
            <w:tcW w:w="7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1,732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1,649</w:t>
            </w:r>
          </w:p>
        </w:tc>
      </w:tr>
      <w:tr>
        <w:trPr>
          <w:trHeight w:val="207"/>
        </w:trPr>
        <w:tc>
          <w:tcPr>
            <w:tcW w:w="7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compensation</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(31,242)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(42,210)</w:t>
            </w:r>
          </w:p>
        </w:tc>
      </w:tr>
      <w:tr>
        <w:trPr>
          <w:trHeight w:val="198"/>
        </w:trPr>
        <w:tc>
          <w:tcPr>
            <w:tcW w:w="7200" w:type="dxa"/>
            <w:vAlign w:val="bottom"/>
          </w:tcPr>
          <w:p>
            <w:pPr>
              <w:ind w:left="260"/>
              <w:spacing w:after="0"/>
              <w:rPr>
                <w:sz w:val="20"/>
                <w:szCs w:val="20"/>
                <w:color w:val="auto"/>
              </w:rPr>
            </w:pPr>
            <w:r>
              <w:rPr>
                <w:rFonts w:ascii="Arial" w:cs="Arial" w:eastAsia="Arial" w:hAnsi="Arial"/>
                <w:sz w:val="14"/>
                <w:szCs w:val="14"/>
                <w:color w:val="auto"/>
              </w:rPr>
              <w:t>Accounts payable, accrued liabilities, and other current liabilities</w:t>
            </w: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3,422</w:t>
            </w:r>
          </w:p>
        </w:tc>
      </w:tr>
      <w:tr>
        <w:trPr>
          <w:trHeight w:val="207"/>
        </w:trPr>
        <w:tc>
          <w:tcPr>
            <w:tcW w:w="7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Operating lease liabilities, non-current</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r>
      <w:tr>
        <w:trPr>
          <w:trHeight w:val="198"/>
        </w:trPr>
        <w:tc>
          <w:tcPr>
            <w:tcW w:w="72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long-term liabilities</w:t>
            </w: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2,761</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w:t>
            </w:r>
          </w:p>
        </w:tc>
      </w:tr>
      <w:tr>
        <w:trPr>
          <w:trHeight w:val="200"/>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97,526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64,738</w:t>
            </w:r>
          </w:p>
        </w:tc>
      </w:tr>
      <w:tr>
        <w:trPr>
          <w:trHeight w:val="199"/>
        </w:trPr>
        <w:tc>
          <w:tcPr>
            <w:tcW w:w="72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software and capitalized software development costs</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(16,057)</w:t>
            </w:r>
          </w:p>
        </w:tc>
      </w:tr>
      <w:tr>
        <w:trPr>
          <w:trHeight w:val="199"/>
        </w:trPr>
        <w:tc>
          <w:tcPr>
            <w:tcW w:w="7200" w:type="dxa"/>
            <w:vAlign w:val="bottom"/>
          </w:tcPr>
          <w:p>
            <w:pPr>
              <w:ind w:left="140"/>
              <w:spacing w:after="0"/>
              <w:rPr>
                <w:sz w:val="20"/>
                <w:szCs w:val="20"/>
                <w:color w:val="auto"/>
              </w:rPr>
            </w:pPr>
            <w:r>
              <w:rPr>
                <w:rFonts w:ascii="Arial" w:cs="Arial" w:eastAsia="Arial" w:hAnsi="Arial"/>
                <w:sz w:val="14"/>
                <w:szCs w:val="14"/>
                <w:color w:val="auto"/>
              </w:rPr>
              <w:t>Purchases of property and equipment</w:t>
            </w: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06"/>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derivatives, net</w:t>
            </w:r>
          </w:p>
        </w:tc>
        <w:tc>
          <w:tcPr>
            <w:tcW w:w="7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2,388</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2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(13,904)</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(16,143)</w:t>
            </w:r>
          </w:p>
        </w:tc>
      </w:tr>
      <w:tr>
        <w:trPr>
          <w:trHeight w:val="20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(123,314)</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(59,065)</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payments on long-term debt</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Settlement of client-held funds obligation, net</w:t>
            </w:r>
          </w:p>
        </w:tc>
        <w:tc>
          <w:tcPr>
            <w:tcW w:w="7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716</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1,451</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exercise of common stock options</w:t>
            </w:r>
          </w:p>
        </w:tc>
        <w:tc>
          <w:tcPr>
            <w:tcW w:w="7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418</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w:t>
            </w:r>
          </w:p>
        </w:tc>
      </w:tr>
      <w:tr>
        <w:trPr>
          <w:trHeight w:val="19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(137,180)</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(56,649)</w:t>
            </w:r>
          </w:p>
        </w:tc>
      </w:tr>
      <w:tr>
        <w:trPr>
          <w:trHeight w:val="200"/>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cash and cash equivalents</w:t>
            </w: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(53,558)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(8,054)</w:t>
            </w:r>
          </w:p>
        </w:tc>
      </w:tr>
      <w:tr>
        <w:trPr>
          <w:trHeight w:val="198"/>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Beginning cash and cash equivalents</w:t>
            </w: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318,927</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295,948</w:t>
            </w:r>
          </w:p>
        </w:tc>
      </w:tr>
      <w:tr>
        <w:trPr>
          <w:trHeight w:val="196"/>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Ending cash and cash equivalents</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265,369</w:t>
            </w:r>
          </w:p>
        </w:tc>
        <w:tc>
          <w:tcPr>
            <w:tcW w:w="84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287,894</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Condensed consolidated statements of cash flows (unaudited) (continued)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0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cash flow data:</w:t>
            </w:r>
          </w:p>
        </w:tc>
        <w:tc>
          <w:tcPr>
            <w:tcW w:w="9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40" w:type="dxa"/>
            <w:vAlign w:val="bottom"/>
          </w:tcPr>
          <w:p>
            <w:pPr>
              <w:ind w:left="140"/>
              <w:spacing w:after="0"/>
              <w:rPr>
                <w:sz w:val="20"/>
                <w:szCs w:val="20"/>
                <w:color w:val="auto"/>
              </w:rPr>
            </w:pPr>
            <w:r>
              <w:rPr>
                <w:rFonts w:ascii="Arial" w:cs="Arial" w:eastAsia="Arial" w:hAnsi="Arial"/>
                <w:sz w:val="14"/>
                <w:szCs w:val="14"/>
                <w:color w:val="auto"/>
              </w:rPr>
              <w:t>Interest expense paid in cash</w:t>
            </w:r>
          </w:p>
        </w:tc>
        <w:tc>
          <w:tcPr>
            <w:tcW w:w="94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18,512</w:t>
            </w:r>
          </w:p>
        </w:tc>
        <w:tc>
          <w:tcPr>
            <w:tcW w:w="8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20,809</w:t>
            </w: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refunds, net</w:t>
            </w:r>
          </w:p>
        </w:tc>
        <w:tc>
          <w:tcPr>
            <w:tcW w:w="9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8"/>
        </w:trPr>
        <w:tc>
          <w:tcPr>
            <w:tcW w:w="7040" w:type="dxa"/>
            <w:vAlign w:val="bottom"/>
          </w:tcPr>
          <w:p>
            <w:pPr>
              <w:ind w:left="2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0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Purchases of software and capitalized software development costs included in accounts payable, accrued</w:t>
            </w:r>
          </w:p>
        </w:tc>
        <w:tc>
          <w:tcPr>
            <w:tcW w:w="9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2,001</w:t>
            </w:r>
          </w:p>
        </w:tc>
        <w:tc>
          <w:tcPr>
            <w:tcW w:w="8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liabilities, or accrued compensation</w:t>
            </w:r>
          </w:p>
        </w:tc>
        <w:tc>
          <w:tcPr>
            <w:tcW w:w="9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40" w:type="dxa"/>
            <w:vAlign w:val="bottom"/>
          </w:tcPr>
          <w:p>
            <w:pPr>
              <w:ind w:left="140"/>
              <w:spacing w:after="0"/>
              <w:rPr>
                <w:sz w:val="20"/>
                <w:szCs w:val="20"/>
                <w:color w:val="auto"/>
              </w:rPr>
            </w:pPr>
            <w:r>
              <w:rPr>
                <w:rFonts w:ascii="Arial" w:cs="Arial" w:eastAsia="Arial" w:hAnsi="Arial"/>
                <w:sz w:val="14"/>
                <w:szCs w:val="14"/>
                <w:color w:val="auto"/>
              </w:rPr>
              <w:t>Purchases of property and equipment included in accounts payable or accrued liabilities</w:t>
            </w:r>
          </w:p>
        </w:tc>
        <w:tc>
          <w:tcPr>
            <w:tcW w:w="94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765</w:t>
            </w:r>
          </w:p>
        </w:tc>
        <w:tc>
          <w:tcPr>
            <w:tcW w:w="8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203"/>
        </w:trPr>
        <w:tc>
          <w:tcPr>
            <w:tcW w:w="7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Repurchases of common stock included in accrued liabilities</w:t>
            </w:r>
          </w:p>
        </w:tc>
        <w:tc>
          <w:tcPr>
            <w:tcW w:w="9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2,858</w:t>
            </w:r>
          </w:p>
        </w:tc>
        <w:tc>
          <w:tcPr>
            <w:tcW w:w="8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HealthEquity, Inc.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condensed consolidated financial statements (unaudited)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HealthEquity, Inc. ("HealthEquity" or the "Company") was incorporated in the state of Delaware on September 18, 2002. HealthEquity is a leader in administering health savings accounts (“HSAs”) and complementary consumer-directed benefits (“CDBs”), which empower consumers to access tax-advantaged healthcare savings while also providing corporate tax advantages for employers.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consolidates entities in which the Company has a controlling financial interest, which includes all of its wholly owned direct and indirect subsidiaries. All significant intercompany accounts and transactions have been eliminated in consolidation.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is managed as a single operating segment that provides administration services in connection with HSAs and other CDBs, which reflects the way in which its chief operating decision maker (“CODM”), the Chief Executive Officer, reviews the Company's financial performance and makes decisions about resource allocation. The CODM assesses the performance of the Company, monitors actual financial results against budgets, and makes resource allocation decisions with a focus on the Company’s consolidated results as presented in the condensed consolidated statements of operations. The Company’s measure of profitability is net income. Single segment-level financial information, including total assets, significant non-cash transactions, and capital expenditures, is contained in the accompanying condensed consolidated financial statements and related notes.</w:t>
      </w:r>
    </w:p>
    <w:p>
      <w:pPr>
        <w:spacing w:after="0" w:line="75" w:lineRule="exact"/>
        <w:rPr>
          <w:sz w:val="20"/>
          <w:szCs w:val="20"/>
          <w:color w:val="auto"/>
        </w:rPr>
      </w:pPr>
    </w:p>
    <w:p>
      <w:pPr>
        <w:ind w:right="1280"/>
        <w:spacing w:after="0" w:line="375" w:lineRule="auto"/>
        <w:rPr>
          <w:sz w:val="20"/>
          <w:szCs w:val="20"/>
          <w:color w:val="auto"/>
        </w:rPr>
      </w:pPr>
      <w:r>
        <w:rPr>
          <w:rFonts w:ascii="Arial" w:cs="Arial" w:eastAsia="Arial" w:hAnsi="Arial"/>
          <w:sz w:val="18"/>
          <w:szCs w:val="18"/>
          <w:color w:val="auto"/>
        </w:rPr>
        <w:t xml:space="preserve">The Company does not generate international revenues. All long-lived assets are maintained in the United States of America. </w:t>
      </w:r>
      <w:r>
        <w:rPr>
          <w:rFonts w:ascii="Arial" w:cs="Arial" w:eastAsia="Arial" w:hAnsi="Arial"/>
          <w:sz w:val="18"/>
          <w:szCs w:val="18"/>
          <w:b w:val="1"/>
          <w:bCs w:val="1"/>
          <w:color w:val="auto"/>
        </w:rPr>
        <w:t>Basis of presentation</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accompanying condensed consolidated financial statements as of April 30, 2026 and for the three months ended April 30, 2026 and 2025 are unaudited and have been prepared in conformity with accounting principles generally accepted in the United States of America ("GAAP") and the applicable rules and regulations of the Securities and Exchange Commission ("SEC") regarding interim financial reporting. In the opinion of management, the interim data includes all adjustments necessary for a fair presentation of the results for the interim periods. Certain information and note disclosures normally included in annual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for the fiscal year ended January 31, 2026. The fiscal year-end condensed consolidated balance sheet data was derived from audited financial statements but does not include all disclosures required by GAAP.</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have been no material changes in the Company’s significant accounting policies as compared to the significant accounting policies described in the Company’s Annual Report on Form 10-K for the fiscal year ended January 31, 2026.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2024-03,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 Reporting Comprehensive Income - Expense Disaggregation Disclosures (Subtopic 220-40): Disaggregation of Income Statement Expenses</w:t>
      </w:r>
      <w:r>
        <w:rPr>
          <w:rFonts w:ascii="Arial" w:cs="Arial" w:eastAsia="Arial" w:hAnsi="Arial"/>
          <w:sz w:val="18"/>
          <w:szCs w:val="18"/>
          <w:color w:val="auto"/>
        </w:rPr>
        <w:t>. The ASU requires disaggregated information about certain income statement expense line items on an annual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basis. This guidance will be effective for annual reporting periods beginning after December 15, 2026, and interim reporting periods beginning after December 15, 2027. The new standard permits early adoption and can be applied prospectively or retrospectively.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 are evaluating the effect that this guidance will have on our consolidated financial statements and related disclosures.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Intangibles-Goodwill and Other-Internal-Use Software (Subtopic 350-40):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the Accounting for Internal-Use Software</w:t>
      </w:r>
      <w:r>
        <w:rPr>
          <w:rFonts w:ascii="Arial" w:cs="Arial" w:eastAsia="Arial" w:hAnsi="Arial"/>
          <w:sz w:val="18"/>
          <w:szCs w:val="18"/>
          <w:color w:val="auto"/>
        </w:rPr>
        <w:t>, which removes all references to project stages and establishes new criteria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capitalization of internal-use software costs. The guidance will be effective for annual periods beginning after December 15, 2027, including interim periods within those annual periods. Early adoption is permitted. Upon adoption, the guidance may be applied prospectively, retrospectively, or on a modified retrospective basis, including for in-process projects. We are currently evaluating the ASU to determine its impact on our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u w:val="single" w:color="auto"/>
          <w:color w:val="auto"/>
        </w:rPr>
        <w:t>Net income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4"/>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 (basic and diluted):</w:t>
            </w:r>
          </w:p>
        </w:tc>
        <w:tc>
          <w:tcPr>
            <w:tcW w:w="7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9"/>
        </w:trPr>
        <w:tc>
          <w:tcPr>
            <w:tcW w:w="72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69,418</w:t>
            </w: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53,915</w:t>
            </w:r>
          </w:p>
        </w:tc>
      </w:tr>
      <w:tr>
        <w:trPr>
          <w:trHeight w:val="20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 (basic):</w:t>
            </w:r>
          </w:p>
        </w:tc>
        <w:tc>
          <w:tcPr>
            <w:tcW w:w="7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9"/>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84,413</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86,655</w:t>
            </w:r>
          </w:p>
        </w:tc>
      </w:tr>
      <w:tr>
        <w:trPr>
          <w:trHeight w:val="18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 (diluted):</w:t>
            </w:r>
          </w:p>
        </w:tc>
        <w:tc>
          <w:tcPr>
            <w:tcW w:w="7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9"/>
        </w:trPr>
        <w:tc>
          <w:tcPr>
            <w:tcW w:w="7200" w:type="dxa"/>
            <w:vAlign w:val="bottom"/>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7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84,413</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86,655</w:t>
            </w:r>
          </w:p>
        </w:tc>
      </w:tr>
      <w:tr>
        <w:trPr>
          <w:trHeight w:val="206"/>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dilutive effect of stock options and restricted stock units</w:t>
            </w:r>
          </w:p>
        </w:tc>
        <w:tc>
          <w:tcPr>
            <w:tcW w:w="7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593</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w:t>
            </w:r>
          </w:p>
        </w:tc>
      </w:tr>
      <w:tr>
        <w:trPr>
          <w:trHeight w:val="192"/>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Diluted weighted-average common shares outstanding</w:t>
            </w:r>
          </w:p>
        </w:tc>
        <w:tc>
          <w:tcPr>
            <w:tcW w:w="7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85,006</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88,415</w:t>
            </w:r>
          </w:p>
        </w:tc>
      </w:tr>
      <w:tr>
        <w:trPr>
          <w:trHeight w:val="187"/>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share:</w:t>
            </w:r>
          </w:p>
        </w:tc>
        <w:tc>
          <w:tcPr>
            <w:tcW w:w="7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8"/>
        </w:trPr>
        <w:tc>
          <w:tcPr>
            <w:tcW w:w="7200" w:type="dxa"/>
            <w:vAlign w:val="bottom"/>
          </w:tcPr>
          <w:p>
            <w:pPr>
              <w:ind w:left="120"/>
              <w:spacing w:after="0"/>
              <w:rPr>
                <w:sz w:val="20"/>
                <w:szCs w:val="20"/>
                <w:color w:val="auto"/>
              </w:rPr>
            </w:pPr>
            <w:r>
              <w:rPr>
                <w:rFonts w:ascii="Arial" w:cs="Arial" w:eastAsia="Arial" w:hAnsi="Arial"/>
                <w:sz w:val="14"/>
                <w:szCs w:val="14"/>
                <w:color w:val="auto"/>
              </w:rPr>
              <w:t>Basic</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0.82</w:t>
            </w: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0.62</w:t>
            </w:r>
          </w:p>
        </w:tc>
      </w:tr>
      <w:tr>
        <w:trPr>
          <w:trHeight w:val="203"/>
        </w:trPr>
        <w:tc>
          <w:tcPr>
            <w:tcW w:w="7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0.82</w:t>
            </w:r>
          </w:p>
        </w:tc>
        <w:tc>
          <w:tcPr>
            <w:tcW w:w="880" w:type="dxa"/>
            <w:vAlign w:val="bottom"/>
            <w:tcBorders>
              <w:bottom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0.61</w:t>
            </w:r>
          </w:p>
        </w:tc>
      </w:tr>
    </w:tbl>
    <w:p>
      <w:pPr>
        <w:spacing w:after="0" w:line="184"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auto"/>
        </w:rPr>
        <w:t>For the three months ended April 30, 2026 and 2025, 0.4 million and 0.1 million shares, respectively, attributable to outstanding stock options and restricted stock units were excluded from the calculation of diluted net income per share as their inclusion would have been anti-dilutive.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u w:val="single" w:color="auto"/>
          <w:color w:val="auto"/>
        </w:rPr>
        <w:t>Supplemental financial statement information</w:t>
      </w:r>
    </w:p>
    <w:p>
      <w:pPr>
        <w:spacing w:after="0" w:line="108"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Selected condensed consolidated balance sheet and condensed consolidated statement of operations components consisted of the following: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April 30, 2026</w:t>
            </w: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2026</w:t>
            </w:r>
          </w:p>
        </w:tc>
      </w:tr>
      <w:tr>
        <w:trPr>
          <w:trHeight w:val="19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14,673</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14,140</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56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6,452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6,453</w:t>
            </w:r>
          </w:p>
        </w:tc>
      </w:tr>
      <w:tr>
        <w:trPr>
          <w:trHeight w:val="20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5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20,394</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19,902</w:t>
            </w:r>
          </w:p>
        </w:tc>
      </w:tr>
      <w:tr>
        <w:trPr>
          <w:trHeight w:val="192"/>
        </w:trPr>
        <w:tc>
          <w:tcPr>
            <w:tcW w:w="7200" w:type="dxa"/>
            <w:vAlign w:val="bottom"/>
          </w:tcPr>
          <w:p>
            <w:pPr>
              <w:ind w:left="140"/>
              <w:spacing w:after="0"/>
              <w:rPr>
                <w:sz w:val="20"/>
                <w:szCs w:val="20"/>
                <w:color w:val="auto"/>
              </w:rPr>
            </w:pPr>
            <w:r>
              <w:rPr>
                <w:rFonts w:ascii="Arial" w:cs="Arial" w:eastAsia="Arial" w:hAnsi="Arial"/>
                <w:sz w:val="14"/>
                <w:szCs w:val="14"/>
                <w:color w:val="auto"/>
              </w:rPr>
              <w:t>Property and equipment, gross</w:t>
            </w:r>
          </w:p>
        </w:tc>
        <w:tc>
          <w:tcPr>
            <w:tcW w:w="5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41,519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40,495</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depreciation</w:t>
            </w:r>
          </w:p>
        </w:tc>
        <w:tc>
          <w:tcPr>
            <w:tcW w:w="5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(37,719)</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(37,318)</w:t>
            </w:r>
          </w:p>
        </w:tc>
      </w:tr>
      <w:tr>
        <w:trPr>
          <w:trHeight w:val="192"/>
        </w:trPr>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Property and equipment, net</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3,800</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w:t>
            </w:r>
          </w:p>
        </w:tc>
      </w:tr>
    </w:tbl>
    <w:p>
      <w:pPr>
        <w:spacing w:after="0" w:line="184" w:lineRule="exact"/>
        <w:rPr>
          <w:sz w:val="20"/>
          <w:szCs w:val="20"/>
          <w:color w:val="auto"/>
        </w:rPr>
      </w:pPr>
    </w:p>
    <w:p>
      <w:pPr>
        <w:ind w:right="1600"/>
        <w:spacing w:after="0" w:line="375" w:lineRule="auto"/>
        <w:rPr>
          <w:sz w:val="20"/>
          <w:szCs w:val="20"/>
          <w:color w:val="auto"/>
        </w:rPr>
      </w:pPr>
      <w:r>
        <w:rPr>
          <w:rFonts w:ascii="Arial" w:cs="Arial" w:eastAsia="Arial" w:hAnsi="Arial"/>
          <w:sz w:val="18"/>
          <w:szCs w:val="18"/>
          <w:color w:val="auto"/>
        </w:rPr>
        <w:t xml:space="preserve">Depreciation expense was $0.5 million and $0.7 million for the three months ended April 30, 2026 and 2025, respectively. </w:t>
      </w:r>
      <w:r>
        <w:rPr>
          <w:rFonts w:ascii="Arial" w:cs="Arial" w:eastAsia="Arial" w:hAnsi="Arial"/>
          <w:sz w:val="18"/>
          <w:szCs w:val="18"/>
          <w:b w:val="1"/>
          <w:bCs w:val="1"/>
          <w:color w:val="auto"/>
        </w:rPr>
        <w:t>Contract balances</w:t>
      </w:r>
    </w:p>
    <w:p>
      <w:pPr>
        <w:spacing w:after="0" w:line="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Company does not recognize revenue until its right to consideration is unconditional and therefore has no related contract assets. The Company records a receivable when revenue is recognized prior to payment and the Company has unconditional right to payment. Alternatively, when payment precedes the related services, the Company records a contract liability, or deferred revenue, until its performance obligations are satisfied. As of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April 30, 2026 and January 31, 2026, the balance of deferred revenue was $5.0 million and $6.7 million, respectively. The balances are related to cash received in advance for custodial and interchange revenue arrangements, other up-front fees and other commuter deferred revenue. The Company expects to recognize approximately 88% of its balance of deferred revenue as revenue over the next 12 months and the remainder thereafter. Amounts expected to be recognized as revenue within a period of 12 months or less are classified as accrued liabilities in the Company's condensed consolidated balance sheets, with the remainder included within other long-term liabilities. Revenue recognized during the three months ended April 30, 2026 that was included in the balance of deferred revenue as of January 31, 2026 was $3.1 million. The Company expects to satisfy its remaining obligations for these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costs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2,209</w:t>
            </w: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ind w:left="628"/>
              <w:spacing w:after="0"/>
              <w:rPr>
                <w:sz w:val="20"/>
                <w:szCs w:val="20"/>
                <w:color w:val="auto"/>
              </w:rPr>
            </w:pPr>
            <w:r>
              <w:rPr>
                <w:rFonts w:ascii="Arial" w:cs="Arial" w:eastAsia="Arial" w:hAnsi="Arial"/>
                <w:sz w:val="14"/>
                <w:szCs w:val="14"/>
                <w:color w:val="auto"/>
              </w:rPr>
              <w:t>2,240</w:t>
            </w:r>
          </w:p>
        </w:tc>
      </w:tr>
      <w:tr>
        <w:trPr>
          <w:trHeight w:val="198"/>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Sublease income</w:t>
            </w: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608"/>
              <w:spacing w:after="0"/>
              <w:rPr>
                <w:sz w:val="20"/>
                <w:szCs w:val="20"/>
                <w:color w:val="auto"/>
              </w:rPr>
            </w:pPr>
            <w:r>
              <w:rPr>
                <w:rFonts w:ascii="Arial" w:cs="Arial" w:eastAsia="Arial" w:hAnsi="Arial"/>
                <w:sz w:val="14"/>
                <w:szCs w:val="14"/>
                <w:color w:val="auto"/>
              </w:rPr>
              <w:t>(1,235)</w:t>
            </w:r>
          </w:p>
        </w:tc>
      </w:tr>
      <w:tr>
        <w:trPr>
          <w:trHeight w:val="196"/>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operating lease expense</w:t>
            </w: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834</w:t>
            </w:r>
          </w:p>
        </w:tc>
        <w:tc>
          <w:tcPr>
            <w:tcW w:w="880" w:type="dxa"/>
            <w:vAlign w:val="bottom"/>
            <w:tcBorders>
              <w:bottom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center"/>
              <w:ind w:left="628"/>
              <w:spacing w:after="0"/>
              <w:rPr>
                <w:sz w:val="20"/>
                <w:szCs w:val="20"/>
                <w:color w:val="auto"/>
              </w:rPr>
            </w:pPr>
            <w:r>
              <w:rPr>
                <w:rFonts w:ascii="Arial" w:cs="Arial" w:eastAsia="Arial" w:hAnsi="Arial"/>
                <w:sz w:val="14"/>
                <w:szCs w:val="14"/>
                <w:color w:val="auto"/>
              </w:rPr>
              <w:t>1,005</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consisted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4"/>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1,887</w:t>
            </w:r>
          </w:p>
        </w:tc>
        <w:tc>
          <w:tcPr>
            <w:tcW w:w="920" w:type="dxa"/>
            <w:vAlign w:val="bottom"/>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w:t>
            </w:r>
          </w:p>
        </w:tc>
      </w:tr>
      <w:tr>
        <w:trPr>
          <w:trHeight w:val="198"/>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miscellaneous income, net</w:t>
            </w: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other income, net</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2,048</w:t>
            </w:r>
          </w:p>
        </w:tc>
        <w:tc>
          <w:tcPr>
            <w:tcW w:w="920" w:type="dxa"/>
            <w:vAlign w:val="bottom"/>
            <w:tcBorders>
              <w:bottom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2,733</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8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2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8"/>
        </w:trPr>
        <w:tc>
          <w:tcPr>
            <w:tcW w:w="5880" w:type="dxa"/>
            <w:vAlign w:val="bottom"/>
          </w:tcPr>
          <w:p>
            <w:pPr>
              <w:ind w:left="140"/>
              <w:spacing w:after="0"/>
              <w:rPr>
                <w:sz w:val="20"/>
                <w:szCs w:val="20"/>
                <w:color w:val="auto"/>
              </w:rPr>
            </w:pPr>
            <w:r>
              <w:rPr>
                <w:rFonts w:ascii="Arial" w:cs="Arial" w:eastAsia="Arial" w:hAnsi="Arial"/>
                <w:sz w:val="14"/>
                <w:szCs w:val="14"/>
                <w:color w:val="auto"/>
              </w:rPr>
              <w:t>Operating cash flows from operating leases</w:t>
            </w:r>
          </w:p>
        </w:tc>
        <w:tc>
          <w:tcPr>
            <w:tcW w:w="214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2,552</w:t>
            </w:r>
          </w:p>
        </w:tc>
        <w:tc>
          <w:tcPr>
            <w:tcW w:w="9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2,529</w:t>
            </w:r>
          </w:p>
        </w:tc>
      </w:tr>
      <w:tr>
        <w:trPr>
          <w:trHeight w:val="203"/>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Right-of-use assets obtained in exchange for lease obligations</w:t>
            </w:r>
          </w:p>
        </w:tc>
        <w:tc>
          <w:tcPr>
            <w:tcW w:w="214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u w:val="single" w:color="auto"/>
          <w:color w:val="auto"/>
        </w:rPr>
        <w:t>Intangible assets and goodwill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associated accumulated amortization of intangible assets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April 30, 2026</w:t>
            </w: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restart"/>
          </w:tcPr>
          <w:p>
            <w:pPr>
              <w:ind w:left="20"/>
              <w:spacing w:after="0"/>
              <w:rPr>
                <w:sz w:val="20"/>
                <w:szCs w:val="20"/>
                <w:color w:val="auto"/>
              </w:rPr>
            </w:pPr>
            <w:r>
              <w:rPr>
                <w:rFonts w:ascii="Arial" w:cs="Arial" w:eastAsia="Arial" w:hAnsi="Arial"/>
                <w:sz w:val="14"/>
                <w:szCs w:val="14"/>
                <w:color w:val="auto"/>
              </w:rPr>
              <w:t>Gross carrying amount</w:t>
            </w:r>
          </w:p>
        </w:tc>
        <w:tc>
          <w:tcPr>
            <w:tcW w:w="880" w:type="dxa"/>
            <w:vAlign w:val="bottom"/>
          </w:tcPr>
          <w:p>
            <w:pPr>
              <w:ind w:left="20"/>
              <w:spacing w:after="0" w:line="143" w:lineRule="exact"/>
              <w:rPr>
                <w:sz w:val="20"/>
                <w:szCs w:val="20"/>
                <w:color w:val="auto"/>
              </w:rPr>
            </w:pPr>
            <w:r>
              <w:rPr>
                <w:rFonts w:ascii="Arial" w:cs="Arial" w:eastAsia="Arial" w:hAnsi="Arial"/>
                <w:sz w:val="14"/>
                <w:szCs w:val="14"/>
                <w:color w:val="auto"/>
              </w:rPr>
              <w:t>Accumulated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carrying amount</w:t>
            </w:r>
          </w:p>
        </w:tc>
        <w:tc>
          <w:tcPr>
            <w:tcW w:w="0" w:type="dxa"/>
            <w:vAlign w:val="bottom"/>
          </w:tcPr>
          <w:p>
            <w:pPr>
              <w:spacing w:after="0"/>
              <w:rPr>
                <w:sz w:val="1"/>
                <w:szCs w:val="1"/>
                <w:color w:val="auto"/>
              </w:rPr>
            </w:pPr>
          </w:p>
        </w:tc>
      </w:tr>
      <w:tr>
        <w:trPr>
          <w:trHeight w:val="189"/>
        </w:trPr>
        <w:tc>
          <w:tcPr>
            <w:tcW w:w="63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amortization</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Amortizable intangible assets:</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tcPr>
          <w:p>
            <w:pPr>
              <w:ind w:left="20"/>
              <w:spacing w:after="0"/>
              <w:rPr>
                <w:sz w:val="20"/>
                <w:szCs w:val="20"/>
                <w:color w:val="auto"/>
              </w:rPr>
            </w:pPr>
            <w:r>
              <w:rPr>
                <w:rFonts w:ascii="Arial" w:cs="Arial" w:eastAsia="Arial" w:hAnsi="Arial"/>
                <w:sz w:val="14"/>
                <w:szCs w:val="14"/>
                <w:color w:val="auto"/>
              </w:rPr>
              <w:t>Software and software development costs</w:t>
            </w: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370,113</w:t>
            </w:r>
          </w:p>
        </w:tc>
        <w:tc>
          <w:tcPr>
            <w:tcW w:w="10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(289,418)</w:t>
            </w:r>
          </w:p>
        </w:tc>
        <w:tc>
          <w:tcPr>
            <w:tcW w:w="10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80,695</w:t>
            </w:r>
          </w:p>
        </w:tc>
        <w:tc>
          <w:tcPr>
            <w:tcW w:w="0" w:type="dxa"/>
            <w:vAlign w:val="bottom"/>
          </w:tcPr>
          <w:p>
            <w:pPr>
              <w:spacing w:after="0"/>
              <w:rPr>
                <w:sz w:val="1"/>
                <w:szCs w:val="1"/>
                <w:color w:val="auto"/>
              </w:rPr>
            </w:pPr>
          </w:p>
        </w:tc>
      </w:tr>
      <w:tr>
        <w:trPr>
          <w:trHeight w:val="20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HSA portfolios</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737,304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(185,800)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551,504</w:t>
            </w:r>
          </w:p>
        </w:tc>
        <w:tc>
          <w:tcPr>
            <w:tcW w:w="0" w:type="dxa"/>
            <w:vAlign w:val="bottom"/>
          </w:tcPr>
          <w:p>
            <w:pPr>
              <w:spacing w:after="0"/>
              <w:rPr>
                <w:sz w:val="1"/>
                <w:szCs w:val="1"/>
                <w:color w:val="auto"/>
              </w:rPr>
            </w:pPr>
          </w:p>
        </w:tc>
      </w:tr>
      <w:tr>
        <w:trPr>
          <w:trHeight w:val="198"/>
        </w:trPr>
        <w:tc>
          <w:tcPr>
            <w:tcW w:w="6360" w:type="dxa"/>
            <w:vAlign w:val="bottom"/>
          </w:tcPr>
          <w:p>
            <w:pPr>
              <w:ind w:left="20"/>
              <w:spacing w:after="0"/>
              <w:rPr>
                <w:sz w:val="20"/>
                <w:szCs w:val="20"/>
                <w:color w:val="auto"/>
              </w:rPr>
            </w:pPr>
            <w:r>
              <w:rPr>
                <w:rFonts w:ascii="Arial" w:cs="Arial" w:eastAsia="Arial" w:hAnsi="Arial"/>
                <w:sz w:val="14"/>
                <w:szCs w:val="14"/>
                <w:color w:val="auto"/>
              </w:rPr>
              <w:t>Acquired customer relationships</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759,782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(321,436)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438,346</w:t>
            </w:r>
          </w:p>
        </w:tc>
        <w:tc>
          <w:tcPr>
            <w:tcW w:w="0" w:type="dxa"/>
            <w:vAlign w:val="bottom"/>
          </w:tcPr>
          <w:p>
            <w:pPr>
              <w:spacing w:after="0"/>
              <w:rPr>
                <w:sz w:val="1"/>
                <w:szCs w:val="1"/>
                <w:color w:val="auto"/>
              </w:rPr>
            </w:pPr>
          </w:p>
        </w:tc>
      </w:tr>
      <w:tr>
        <w:trPr>
          <w:trHeight w:val="20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developed technology</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132,825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(130,325)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9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Acquired trade names</w:t>
            </w: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12,900</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amortizable intangible assets</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2,012,924</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(939,879)</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January 31, 2026</w:t>
            </w: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restart"/>
          </w:tcPr>
          <w:p>
            <w:pPr>
              <w:ind w:left="20"/>
              <w:spacing w:after="0"/>
              <w:rPr>
                <w:sz w:val="20"/>
                <w:szCs w:val="20"/>
                <w:color w:val="auto"/>
              </w:rPr>
            </w:pPr>
            <w:r>
              <w:rPr>
                <w:rFonts w:ascii="Arial" w:cs="Arial" w:eastAsia="Arial" w:hAnsi="Arial"/>
                <w:sz w:val="14"/>
                <w:szCs w:val="14"/>
                <w:color w:val="auto"/>
              </w:rPr>
              <w:t>Gross carrying amount</w:t>
            </w:r>
          </w:p>
        </w:tc>
        <w:tc>
          <w:tcPr>
            <w:tcW w:w="880" w:type="dxa"/>
            <w:vAlign w:val="bottom"/>
          </w:tcPr>
          <w:p>
            <w:pPr>
              <w:ind w:left="20"/>
              <w:spacing w:after="0" w:line="147" w:lineRule="exact"/>
              <w:rPr>
                <w:sz w:val="20"/>
                <w:szCs w:val="20"/>
                <w:color w:val="auto"/>
              </w:rPr>
            </w:pPr>
            <w:r>
              <w:rPr>
                <w:rFonts w:ascii="Arial" w:cs="Arial" w:eastAsia="Arial" w:hAnsi="Arial"/>
                <w:sz w:val="14"/>
                <w:szCs w:val="14"/>
                <w:color w:val="auto"/>
              </w:rPr>
              <w:t>Accumulated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carrying amount</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amortization</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Amortizable intangible assets:</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60" w:type="dxa"/>
            <w:vAlign w:val="bottom"/>
          </w:tcPr>
          <w:p>
            <w:pPr>
              <w:ind w:left="20"/>
              <w:spacing w:after="0"/>
              <w:rPr>
                <w:sz w:val="20"/>
                <w:szCs w:val="20"/>
                <w:color w:val="auto"/>
              </w:rPr>
            </w:pPr>
            <w:r>
              <w:rPr>
                <w:rFonts w:ascii="Arial" w:cs="Arial" w:eastAsia="Arial" w:hAnsi="Arial"/>
                <w:sz w:val="14"/>
                <w:szCs w:val="14"/>
                <w:color w:val="auto"/>
              </w:rPr>
              <w:t>Software and software development costs</w:t>
            </w: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356,597</w:t>
            </w:r>
          </w:p>
        </w:tc>
        <w:tc>
          <w:tcPr>
            <w:tcW w:w="10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(278,291)</w:t>
            </w:r>
          </w:p>
        </w:tc>
        <w:tc>
          <w:tcPr>
            <w:tcW w:w="10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78,306</w:t>
            </w:r>
          </w:p>
        </w:tc>
        <w:tc>
          <w:tcPr>
            <w:tcW w:w="0" w:type="dxa"/>
            <w:vAlign w:val="bottom"/>
          </w:tcPr>
          <w:p>
            <w:pPr>
              <w:spacing w:after="0"/>
              <w:rPr>
                <w:sz w:val="1"/>
                <w:szCs w:val="1"/>
                <w:color w:val="auto"/>
              </w:rPr>
            </w:pPr>
          </w:p>
        </w:tc>
      </w:tr>
      <w:tr>
        <w:trPr>
          <w:trHeight w:val="20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HSA portfolios</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737,304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(173,687)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563,617</w:t>
            </w:r>
          </w:p>
        </w:tc>
        <w:tc>
          <w:tcPr>
            <w:tcW w:w="0" w:type="dxa"/>
            <w:vAlign w:val="bottom"/>
          </w:tcPr>
          <w:p>
            <w:pPr>
              <w:spacing w:after="0"/>
              <w:rPr>
                <w:sz w:val="1"/>
                <w:szCs w:val="1"/>
                <w:color w:val="auto"/>
              </w:rPr>
            </w:pPr>
          </w:p>
        </w:tc>
      </w:tr>
      <w:tr>
        <w:trPr>
          <w:trHeight w:val="198"/>
        </w:trPr>
        <w:tc>
          <w:tcPr>
            <w:tcW w:w="6360" w:type="dxa"/>
            <w:vAlign w:val="bottom"/>
          </w:tcPr>
          <w:p>
            <w:pPr>
              <w:ind w:left="20"/>
              <w:spacing w:after="0"/>
              <w:rPr>
                <w:sz w:val="20"/>
                <w:szCs w:val="20"/>
                <w:color w:val="auto"/>
              </w:rPr>
            </w:pPr>
            <w:r>
              <w:rPr>
                <w:rFonts w:ascii="Arial" w:cs="Arial" w:eastAsia="Arial" w:hAnsi="Arial"/>
                <w:sz w:val="14"/>
                <w:szCs w:val="14"/>
                <w:color w:val="auto"/>
              </w:rPr>
              <w:t>Acquired customer relationships</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759,782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(308,512)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451,270</w:t>
            </w:r>
          </w:p>
        </w:tc>
        <w:tc>
          <w:tcPr>
            <w:tcW w:w="0" w:type="dxa"/>
            <w:vAlign w:val="bottom"/>
          </w:tcPr>
          <w:p>
            <w:pPr>
              <w:spacing w:after="0"/>
              <w:rPr>
                <w:sz w:val="1"/>
                <w:szCs w:val="1"/>
                <w:color w:val="auto"/>
              </w:rPr>
            </w:pPr>
          </w:p>
        </w:tc>
      </w:tr>
      <w:tr>
        <w:trPr>
          <w:trHeight w:val="20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developed technology</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132,825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(128,846)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3,979</w:t>
            </w:r>
          </w:p>
        </w:tc>
        <w:tc>
          <w:tcPr>
            <w:tcW w:w="0" w:type="dxa"/>
            <w:vAlign w:val="bottom"/>
          </w:tcPr>
          <w:p>
            <w:pPr>
              <w:spacing w:after="0"/>
              <w:rPr>
                <w:sz w:val="1"/>
                <w:szCs w:val="1"/>
                <w:color w:val="auto"/>
              </w:rPr>
            </w:pPr>
          </w:p>
        </w:tc>
      </w:tr>
      <w:tr>
        <w:trPr>
          <w:trHeight w:val="19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Acquired trade names</w:t>
            </w: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12,900</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amortizable intangible assets</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1,999,408</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(902,236)</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1,097,172</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$37.7 million and $38.1 million for the three months ended April 30, 2026 and 2025,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to the carrying value of goodwill during the three months ended April 30, 2026.</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u w:val="single" w:color="auto"/>
          <w:color w:val="auto"/>
        </w:rPr>
        <w:t>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Company’s principal commitments consist of long-term debt, operating lease obligations, and other purchase obligations and contractual commitments. During the three months ended April 30, 2026, the Company prepaid $15.0 million under its credit agreement. There were no other material changes during the three months ended April 30, 2026, outside of the ordinary course of business, in the Company's commitments from those disclosed in its Annual Report on Form 10-K for the fiscal year ended January 31, 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result of a cybersecurity incident in fiscal 2025 in which a business partner's user account containing personally identifiable information was breached, the Company is subject to a consolidated putative class action lawsuit in federal court in the District of Utah. The plaintiffs in this legal action allege that the Company failed to implement reasonable data security practices, which resulted in a breach and disclosure of plaintiffs' and others' personally identifiable information and protected health information. The plaintiffs are seeking, among other damages, unspecified monetary damages, equitable relief, costs, and attorneys' fees arising out of the incident. On December 13, 2024, the Company filed a motion to dismiss the class action and a motion to compel arbitration. On May 5, 2025, the court dismissed without prejudice the Company's motion to compel arbitration and the motion to dismiss, with the court noting that the Company could refile both motions after the conclusion of discovery. On May 15, 2026, the Company filed its renewed motion to compel arbitration. The Company intends to vigorously defend itself against this legal action. In addition, the Company is subject to several regulatory inquiries related to the cybersecurity incident. The amount of the potential loss associated with the lawsuit and any potential regulatory action cannot be reasonably estimated based on currently available information.</w:t>
      </w:r>
    </w:p>
    <w:p>
      <w:pPr>
        <w:spacing w:after="0" w:line="7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Company and its subsidiaries are involved in various other litigation, governmental proceedings, and claims, not described above, that arise in the normal course of business. It is not possible to determine the ultimate outcome or the duration of such litigation, governmental proceedings or claims, or the impact that such litigation, proceedings, and claims will have on the Company’s financial position, results of operations, and cash flows.</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required under GAAP, the Company records a provision for contingent losses when it is both probable that a liability has been incurred and the amount of the loss can be reasonably estimated. No loss accrual relating to these matters was recorded because, based on currently available information, the Company does not believe that any contingent liabilities relating to these matters are probable or that the amount of any resulting loss is estimable. However, litigation is subject to inherent uncertainties and the Company’s view of these matters may change. Were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an unfavorable outcome to occur, there exists the possibility of a material adverse impact on the Company’s financial position, results of operations and cash flows for the period in which the unfavorable outcome occurs, and potentially in future periods.</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Indebtedness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April 30, 2026</w:t>
            </w: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2026</w:t>
            </w:r>
          </w:p>
        </w:tc>
      </w:tr>
      <w:tr>
        <w:trPr>
          <w:trHeight w:val="305"/>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4.50% Senior Notes due 2029</w:t>
            </w: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600,000</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r>
      <w:tr>
        <w:trPr>
          <w:trHeight w:val="198"/>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Revolving Credit Facility</w:t>
            </w: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346,875</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361,875</w:t>
            </w:r>
          </w:p>
        </w:tc>
      </w:tr>
      <w:tr>
        <w:trPr>
          <w:trHeight w:val="200"/>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amount</w:t>
            </w: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946,875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961,875</w:t>
            </w:r>
          </w:p>
        </w:tc>
      </w:tr>
      <w:tr>
        <w:trPr>
          <w:trHeight w:val="198"/>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unamortized discount and issuance costs (1)</w:t>
            </w: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4,219</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4,496</w:t>
            </w:r>
          </w:p>
        </w:tc>
      </w:tr>
      <w:tr>
        <w:trPr>
          <w:trHeight w:val="200"/>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debt, net</w:t>
            </w: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942,656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957,379</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Less: current portion of long-term debt</w:t>
            </w:r>
          </w:p>
        </w:tc>
        <w:tc>
          <w:tcPr>
            <w:tcW w:w="56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00" w:type="dxa"/>
            <w:vAlign w:val="bottom"/>
            <w:tcBorders>
              <w:top w:val="single" w:sz="8" w:color="CCEEFF"/>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Long-term debt, net</w:t>
            </w:r>
          </w:p>
        </w:tc>
        <w:tc>
          <w:tcPr>
            <w:tcW w:w="56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942,656</w:t>
            </w:r>
          </w:p>
        </w:tc>
        <w:tc>
          <w:tcPr>
            <w:tcW w:w="80" w:type="dxa"/>
            <w:vAlign w:val="bottom"/>
            <w:tcBorders>
              <w:top w:val="single" w:sz="8" w:color="CCEEFF"/>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957,379</w:t>
            </w:r>
          </w:p>
        </w:tc>
      </w:tr>
    </w:tbl>
    <w:p>
      <w:pPr>
        <w:spacing w:after="0" w:line="85" w:lineRule="exact"/>
        <w:rPr>
          <w:sz w:val="20"/>
          <w:szCs w:val="20"/>
          <w:color w:val="auto"/>
        </w:rPr>
      </w:pPr>
    </w:p>
    <w:p>
      <w:pPr>
        <w:ind w:left="340" w:right="340" w:hanging="332"/>
        <w:spacing w:after="0" w:line="273"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addition to the $4.2 million and $4.5 million of unamortized discount and issuance costs related to the Notes as of April 30, 2026 and January 31, 2026, respectively, $5.5 million and $5.9 million of unamortized issuance costs related to the Company's Revolving Credit Facility are included within other assets in the condensed consolidated balance sheets as of April 30, 2026 and January 31, 2026,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4.50% Senior Notes due 2029</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October 8, 2021, the Company completed its offering of $600 million aggregate principal amount of its 4.50% Senior Notes due 2029 (the “Notes”). The Notes were issued under an indenture (the “Indenture”), dated October 8, 2021, among the Company, the guarantors party thereto, and Wells Fargo Bank, National Association, as trustee.</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Notes are guaranteed by each of the Company’s existing, wholly owned domestic subsidiaries that guarantees its obligations under the Credit Agreement (as defined below) and are required to be guaranteed by any of the Company’s future subsidiaries that guarantee its obligations under the Credit Agreement or certain of its other indebtedness. The Notes will mature on October 1, 2029. Interest on the Notes is payable on April 1 and October 1 of each year. As of April 30, 2026 and January 31, 2026, the balance of accrued interest on the Notes was $2.3 million and $9.0 million , respectively, which is included within accrued liabilities on the Company's condensed consolidated balance sheets. The effective interest rate on the Notes is 4.72%.</w:t>
      </w:r>
    </w:p>
    <w:p>
      <w:pPr>
        <w:spacing w:after="0" w:line="74"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Notes are unsecured senior obligations of the Company and rank equally in right of payment to all of its existing and future senior unsecured debt and senior in right of payment to all of its future subordinated debt.</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Notes are redeemable at the Company’s option, in whole or in part, at a redemption price if redeemed during the 12 months beginning (i) October 1, 2025 of 101.125%, and (ii) October 1, 2026 and thereafter of 100.000%, in each case of the principal amount of the Notes being redeemed, and together with accrued and unpaid interest, if any, to, but excluding, the date of redemption. The Company may be required to make an offer to purchase the Notes upon the sale of certain assets or upon specific kinds of changes of control.</w:t>
      </w:r>
    </w:p>
    <w:p>
      <w:pPr>
        <w:spacing w:after="0" w:line="68" w:lineRule="exact"/>
        <w:rPr>
          <w:sz w:val="20"/>
          <w:szCs w:val="20"/>
          <w:color w:val="auto"/>
        </w:rPr>
      </w:pPr>
    </w:p>
    <w:p>
      <w:pPr>
        <w:jc w:val="both"/>
        <w:ind w:right="220"/>
        <w:spacing w:after="0" w:line="318" w:lineRule="auto"/>
        <w:rPr>
          <w:sz w:val="20"/>
          <w:szCs w:val="20"/>
          <w:color w:val="auto"/>
        </w:rPr>
      </w:pPr>
      <w:r>
        <w:rPr>
          <w:rFonts w:ascii="Arial" w:cs="Arial" w:eastAsia="Arial" w:hAnsi="Arial"/>
          <w:sz w:val="17"/>
          <w:szCs w:val="17"/>
          <w:color w:val="auto"/>
        </w:rPr>
        <w:t>The Indenture contains covenants that impose significant operational and financial restrictions on the Company; however, these covenants generally align with the covenants contained in the Credit Agreement. See "Credit Agreement" below for a description of these covenants.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August 23, 2024, the Company entered into a Credit Agreement (the “Credit Agreement”) among the Company, as borrower, each lender from time to time party thereto (the “Lenders”), JPMorgan Chase Bank, N.A., as administrative agent and the Swing Line Lender (as defined in the Credit Agreement), and each L/C Issuer (as defined therein) party thereto, pursuant to which the Company established a five-year senior secured revolving credit facility (the “Revolving Credit Facility”) in an aggregate principal amount of up to $ 1.0 billion (with a $25 million sub-limit for the issuance of letters of credit), a portion of which was used to refinance the Company's prior credit agreement. The Revolving Credit Facility may be used in the future for working capital and general corporate purposes, including the financing of acquisitions and other investments. The maturity date of the Revolving Credit Facility is August 23, 2029.</w:t>
      </w:r>
    </w:p>
    <w:p>
      <w:pPr>
        <w:spacing w:after="0" w:line="7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Subject to the terms and conditions set forth in the Credit Agreement (including obtaining additional commitments from one or more new or existing lenders), the Company may in the future incur additional loans or commitments under the Credit Agreement in an aggregate principal amount of up to $450 million, plus an additional amount so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long as the Company’s pro forma first lien net leverage ratio would not exceed 3.85 to 1.00 as of the date such loans or commitments are incurred.</w:t>
      </w:r>
    </w:p>
    <w:p>
      <w:pPr>
        <w:spacing w:after="0" w:line="4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Borrowings under the Revolving Credit Facility bear interest at an annual rate equal to, at the Company’s option, either (i) the secured overnight financing rate published by the CME Group Benchmark Administration Limited (“Term SOFR”) (subject to a 0.10% “credit spread adjustment”) plus a margin ranging from 1.25% to 2.50% or (ii) an alternate base rate plus a margin ranging from 0.25% to 1.50%, with the applicable margin determined by reference to a leverage-based pricing grid set forth in the Credit Agreement. The Company is also required to pay certain fees to the Lenders, including, among others, a quarterly commitment fee on the average unused amount of the Revolving Credit Facility at a rate ranging from 0.25% to 0.50%, with the applicable rate also determined by reference to a leverage-based pricing grid set forth in the Credit Agreement. As of April 30, 2026, the interest rate on the Revolving Credit Facility was 5.00%.</w:t>
      </w:r>
    </w:p>
    <w:p>
      <w:pPr>
        <w:spacing w:after="0" w:line="7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loans under the Revolving Credit Facility may be prepaid, and the commitments thereunder may be reduced by the Company without penalty or premium, subject to the reimbursement of customary “breakage costs.”</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Credit Agreement contains customary affirmative and negative covenants, including covenants that limit, among other things, the ability of the Company and its subsidiaries to incur additional indebtedness, create liens, merge or dissolve, make investments, dispose of assets, engage in sale and leaseback transactions, make distributions and dividends and prepayments of junior indebtedness, engage in transactions with affiliates, enter into restrictive agreements, amend documentation governing junior indebtedness, modify its fiscal year and modify its organizational documents, in each case, subject to customary exceptions, thresholds, qualifications and “baskets.” In addition, the Credit Agreement contains financial performance covenants, which require the Company to maintain (i) a maximum total net leverage ratio, measured as of the last day of each fiscal quarter, of no greater than 5.00 to 1.00 and (ii) a minimum consolidated interest coverage ratio, measured as of the last day of each fiscal quarter, of no less than 3.00 to 1.00. The Company was in compliance with all covenants under the Credit Agreement as of April 30, 2026 and for the period then ended.</w:t>
      </w:r>
    </w:p>
    <w:p>
      <w:pPr>
        <w:spacing w:after="0" w:line="7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repayment obligation under the Credit Agreement may be accelerated upon the occurrence of an event of default thereunder, including, among other things, failure to pay principal, interest or fees on a timely basis, material inaccuracy of any representation or warranty, failure to comply with covenants, cross-default to other material debt, material judgments, change of control and certain insolvency or bankruptcy-related events, in each case, subject to any certain grace and/or cure periods.</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obligations under the Credit Agreement are required to be unconditionally guaranteed by each of its existing or subsequently acquired or organized direct and indirect domestic subsidiaries and are secured by security interests in substantially all assets of the Company and the guarantors, in each case, subject to certain customary exceptions.</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u w:val="single" w:color="auto"/>
          <w:color w:val="auto"/>
        </w:rPr>
        <w:t>Income taxes</w:t>
      </w:r>
    </w:p>
    <w:p>
      <w:pPr>
        <w:spacing w:after="0" w:line="1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The Company follows Accounting Standards Codification ("ASC") 740-270, </w:t>
      </w:r>
      <w:r>
        <w:rPr>
          <w:rFonts w:ascii="Arial" w:cs="Arial" w:eastAsia="Arial" w:hAnsi="Arial"/>
          <w:sz w:val="18"/>
          <w:szCs w:val="18"/>
          <w:i w:val="1"/>
          <w:iCs w:val="1"/>
          <w:color w:val="auto"/>
        </w:rPr>
        <w:t>Income Taxes - Interim Reporting</w:t>
      </w:r>
      <w:r>
        <w:rPr>
          <w:rFonts w:ascii="Arial" w:cs="Arial" w:eastAsia="Arial" w:hAnsi="Arial"/>
          <w:sz w:val="18"/>
          <w:szCs w:val="18"/>
          <w:color w:val="auto"/>
        </w:rPr>
        <w:t>, for the computation and presentation of its interim period tax provision. Accordingly, management estimated the effective annual tax rate and applied this rate to pre-tax income through the end of the latest fiscal quarter to determine the interim income tax provision. For the three months ended April 30, 2026 and 2025, the Company recorded an income tax provision of $ 23.0 million and $17.0 million, respectively. This resulted in an effective income tax rate of 24.9% for the three months ended April 30, 2026, compared with an effective income tax rate of 24.0% for the three months ended April 30, 2025. For the three months ended April 30, 2026, discrete tax items impacting the effective tax rate were primarily due to tax benefit from stock-based compensation expense. For the three months ended April 30, 2025, discrete tax items impacting the effective tax rate were primarily due to tax benefit from stock-based compensation expense and changes to net state deferred tax liabilities due to state apportionment changes.</w:t>
      </w:r>
    </w:p>
    <w:p>
      <w:pPr>
        <w:spacing w:after="0" w:line="7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As of April 30, 2026 and January 31, 2026, the Company’s total gross unrecognized tax benefit was $28.4 million and $27.4 million, respectively. If recognized, $25.0 million of the total gross unrecognized tax benefit would affect the Company's effective tax rate as of April 30, 2026.</w:t>
      </w:r>
    </w:p>
    <w:p>
      <w:pPr>
        <w:spacing w:after="0" w:line="63"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As of April 30, 2026, $17.2 million of federal income tax payable is included within accrued liabilities on the Company's condensed consolidated balance sheets.</w:t>
      </w:r>
    </w:p>
    <w:p>
      <w:pPr>
        <w:spacing w:after="0" w:line="4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Company files income tax returns with U.S. federal and state taxing jurisdictions and is currently under examination by the state of California. This tax examination may lead to ordinary course adjustments or proposed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adjustments to the Company's taxes, net operating losses, and/or tax credit carryforwards. As a result of the Company's net operating loss carryforwards and tax credit carryforwards, the Company remains subject to examination by one or more jurisdictions for tax years after 2006.</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Stock-based compensation</w:t>
      </w:r>
    </w:p>
    <w:p>
      <w:pPr>
        <w:spacing w:after="0" w:line="1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shows a summary of stock-based compensation in the Company's condensed consolidated statements of operations during the periods presented:</w:t>
      </w:r>
    </w:p>
    <w:tbl>
      <w:tblPr>
        <w:tblLayout w:type="fixed"/>
        <w:tblInd w:w="0" w:type="dxa"/>
        <w:tblCellMar>
          <w:top w:w="0" w:type="dxa"/>
          <w:left w:w="0" w:type="dxa"/>
          <w:bottom w:w="0" w:type="dxa"/>
          <w:right w:w="0" w:type="dxa"/>
        </w:tblCellMar>
      </w:tblPr>
      <w:tr>
        <w:trPr>
          <w:trHeight w:val="194"/>
        </w:trPr>
        <w:tc>
          <w:tcPr>
            <w:tcW w:w="7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2,787</w:t>
            </w: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7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4,524</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4,870</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 and development</w:t>
            </w:r>
          </w:p>
        </w:tc>
        <w:tc>
          <w:tcPr>
            <w:tcW w:w="7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5,920</w:t>
            </w:r>
          </w:p>
        </w:tc>
      </w:tr>
      <w:tr>
        <w:trPr>
          <w:trHeight w:val="198"/>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8,142</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r>
      <w:tr>
        <w:trPr>
          <w:trHeight w:val="196"/>
        </w:trPr>
        <w:tc>
          <w:tcPr>
            <w:tcW w:w="7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stock-based compensation expense</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19,406</w:t>
            </w:r>
          </w:p>
        </w:tc>
        <w:tc>
          <w:tcPr>
            <w:tcW w:w="880" w:type="dxa"/>
            <w:vAlign w:val="bottom"/>
            <w:tcBorders>
              <w:bottom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14,336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plans</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 xml:space="preserve">Incentive Plan. </w:t>
      </w:r>
      <w:r>
        <w:rPr>
          <w:rFonts w:ascii="Arial" w:cs="Arial" w:eastAsia="Arial" w:hAnsi="Arial"/>
          <w:sz w:val="18"/>
          <w:szCs w:val="18"/>
          <w:color w:val="auto"/>
        </w:rPr>
        <w:t>The HealthEquity, Inc. 2024 Equity Incentive Plan (the "Incentive Plan") provides for the issuance of stock awards to team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consultants, and directors of the Company. Subject to adjustment as provided in the Incentive Plan, as of April 30, 2026, the aggregate number of shares of the Company’s common stock reserved and available for issuance pursuant to awards granted under the Incentive Plan was 1.8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2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stock options</w:t>
            </w: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Weighted-</w:t>
            </w:r>
          </w:p>
        </w:tc>
        <w:tc>
          <w:tcPr>
            <w:tcW w:w="11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Weighted-</w:t>
            </w: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Range of</w:t>
            </w:r>
          </w:p>
        </w:tc>
        <w:tc>
          <w:tcPr>
            <w:tcW w:w="4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4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average</w:t>
            </w:r>
          </w:p>
        </w:tc>
        <w:tc>
          <w:tcPr>
            <w:tcW w:w="11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contractual</w:t>
            </w:r>
          </w:p>
        </w:tc>
        <w:tc>
          <w:tcPr>
            <w:tcW w:w="4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for exercise prices and term)</w:t>
            </w:r>
          </w:p>
        </w:tc>
        <w:tc>
          <w:tcPr>
            <w:tcW w:w="1320" w:type="dxa"/>
            <w:vAlign w:val="bottom"/>
            <w:vMerge w:val="continue"/>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exercise</w:t>
            </w:r>
          </w:p>
        </w:tc>
        <w:tc>
          <w:tcPr>
            <w:tcW w:w="420" w:type="dxa"/>
            <w:vAlign w:val="bottom"/>
          </w:tcPr>
          <w:p>
            <w:pPr>
              <w:spacing w:after="0"/>
              <w:rPr>
                <w:sz w:val="12"/>
                <w:szCs w:val="12"/>
                <w:color w:val="auto"/>
              </w:rPr>
            </w:pPr>
          </w:p>
        </w:tc>
        <w:tc>
          <w:tcPr>
            <w:tcW w:w="12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exercise</w:t>
            </w: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term</w:t>
            </w:r>
          </w:p>
        </w:tc>
        <w:tc>
          <w:tcPr>
            <w:tcW w:w="4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42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prices</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price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years)</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2026</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$24.36 - 73.61</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47.50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4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5,081</w:t>
            </w:r>
          </w:p>
        </w:tc>
        <w:tc>
          <w:tcPr>
            <w:tcW w:w="0" w:type="dxa"/>
            <w:vAlign w:val="bottom"/>
          </w:tcPr>
          <w:p>
            <w:pPr>
              <w:spacing w:after="0"/>
              <w:rPr>
                <w:sz w:val="1"/>
                <w:szCs w:val="1"/>
                <w:color w:val="auto"/>
              </w:rPr>
            </w:pPr>
          </w:p>
        </w:tc>
      </w:tr>
      <w:tr>
        <w:trPr>
          <w:trHeight w:val="198"/>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Exercised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$24.36 - 44.53</w:t>
            </w:r>
          </w:p>
        </w:tc>
        <w:tc>
          <w:tcPr>
            <w:tcW w:w="420" w:type="dxa"/>
            <w:vAlign w:val="bottom"/>
            <w:tcBorders>
              <w:bottom w:val="single" w:sz="8" w:color="CCEEFF"/>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ind w:right="288"/>
              <w:spacing w:after="0"/>
              <w:rPr>
                <w:sz w:val="20"/>
                <w:szCs w:val="20"/>
                <w:color w:val="auto"/>
              </w:rPr>
            </w:pPr>
            <w:r>
              <w:rPr>
                <w:rFonts w:ascii="Arial" w:cs="Arial" w:eastAsia="Arial" w:hAnsi="Arial"/>
                <w:sz w:val="14"/>
                <w:szCs w:val="14"/>
                <w:color w:val="auto"/>
              </w:rPr>
              <w:t>27.84</w:t>
            </w:r>
          </w:p>
        </w:tc>
        <w:tc>
          <w:tcPr>
            <w:tcW w:w="11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April 30,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$25.06 - 73.61</w:t>
            </w: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50.01</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Vested and expected to vest as of April 30, 2026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4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ind w:right="288"/>
              <w:spacing w:after="0"/>
              <w:rPr>
                <w:sz w:val="20"/>
                <w:szCs w:val="20"/>
                <w:color w:val="auto"/>
              </w:rPr>
            </w:pPr>
            <w:r>
              <w:rPr>
                <w:rFonts w:ascii="Arial" w:cs="Arial" w:eastAsia="Arial" w:hAnsi="Arial"/>
                <w:sz w:val="14"/>
                <w:szCs w:val="14"/>
                <w:color w:val="auto"/>
              </w:rPr>
              <w:t>50.01</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w:t>
            </w:r>
          </w:p>
        </w:tc>
        <w:tc>
          <w:tcPr>
            <w:tcW w:w="400" w:type="dxa"/>
            <w:vAlign w:val="bottom"/>
            <w:tcBorders>
              <w:bottom w:val="single" w:sz="8" w:color="CCEEFF"/>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Exercisable as of April 30,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4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50.01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("RSU") and performance restricted stock unit ("PRSU") activity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Borders>
              <w:top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RSUs and PRSUs</w:t>
            </w:r>
          </w:p>
        </w:tc>
        <w:tc>
          <w:tcPr>
            <w:tcW w:w="0" w:type="dxa"/>
            <w:vAlign w:val="bottom"/>
          </w:tcPr>
          <w:p>
            <w:pPr>
              <w:spacing w:after="0"/>
              <w:rPr>
                <w:sz w:val="1"/>
                <w:szCs w:val="1"/>
                <w:color w:val="auto"/>
              </w:rPr>
            </w:pPr>
          </w:p>
        </w:tc>
      </w:tr>
      <w:tr>
        <w:trPr>
          <w:trHeight w:val="143"/>
        </w:trPr>
        <w:tc>
          <w:tcPr>
            <w:tcW w:w="7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weighted-average grant date fair value)</w:t>
            </w:r>
          </w:p>
        </w:tc>
        <w:tc>
          <w:tcPr>
            <w:tcW w:w="1980" w:type="dxa"/>
            <w:vAlign w:val="bottom"/>
            <w:vMerge w:val="restart"/>
          </w:tcPr>
          <w:p>
            <w:pPr>
              <w:jc w:val="center"/>
              <w:ind w:left="1388"/>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17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Weighted-average grant</w:t>
            </w:r>
          </w:p>
        </w:tc>
        <w:tc>
          <w:tcPr>
            <w:tcW w:w="0" w:type="dxa"/>
            <w:vAlign w:val="bottom"/>
          </w:tcPr>
          <w:p>
            <w:pPr>
              <w:spacing w:after="0"/>
              <w:rPr>
                <w:sz w:val="1"/>
                <w:szCs w:val="1"/>
                <w:color w:val="auto"/>
              </w:rPr>
            </w:pPr>
          </w:p>
        </w:tc>
      </w:tr>
      <w:tr>
        <w:trPr>
          <w:trHeight w:val="189"/>
        </w:trPr>
        <w:tc>
          <w:tcPr>
            <w:tcW w:w="720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9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January 31, 2026</w:t>
            </w:r>
          </w:p>
        </w:tc>
        <w:tc>
          <w:tcPr>
            <w:tcW w:w="1980" w:type="dxa"/>
            <w:vAlign w:val="bottom"/>
            <w:shd w:val="clear" w:color="auto" w:fill="CCEEFF"/>
          </w:tcPr>
          <w:p>
            <w:pPr>
              <w:jc w:val="center"/>
              <w:ind w:left="1388"/>
              <w:spacing w:after="0"/>
              <w:rPr>
                <w:sz w:val="20"/>
                <w:szCs w:val="20"/>
                <w:color w:val="auto"/>
              </w:rPr>
            </w:pPr>
            <w:r>
              <w:rPr>
                <w:rFonts w:ascii="Arial" w:cs="Arial" w:eastAsia="Arial" w:hAnsi="Arial"/>
                <w:sz w:val="14"/>
                <w:szCs w:val="14"/>
                <w:color w:val="auto"/>
              </w:rPr>
              <w:t>2,168</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84.15</w:t>
            </w:r>
          </w:p>
        </w:tc>
        <w:tc>
          <w:tcPr>
            <w:tcW w:w="0" w:type="dxa"/>
            <w:vAlign w:val="bottom"/>
          </w:tcPr>
          <w:p>
            <w:pPr>
              <w:spacing w:after="0"/>
              <w:rPr>
                <w:sz w:val="1"/>
                <w:szCs w:val="1"/>
                <w:color w:val="auto"/>
              </w:rPr>
            </w:pP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Granted</w:t>
            </w:r>
          </w:p>
        </w:tc>
        <w:tc>
          <w:tcPr>
            <w:tcW w:w="1980" w:type="dxa"/>
            <w:vAlign w:val="bottom"/>
          </w:tcPr>
          <w:p>
            <w:pPr>
              <w:jc w:val="center"/>
              <w:ind w:left="1388"/>
              <w:spacing w:after="0"/>
              <w:rPr>
                <w:sz w:val="20"/>
                <w:szCs w:val="20"/>
                <w:color w:val="auto"/>
              </w:rPr>
            </w:pPr>
            <w:r>
              <w:rPr>
                <w:rFonts w:ascii="Arial" w:cs="Arial" w:eastAsia="Arial" w:hAnsi="Arial"/>
                <w:sz w:val="14"/>
                <w:szCs w:val="14"/>
                <w:color w:val="auto"/>
              </w:rPr>
              <w:t>1,235</w:t>
            </w: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87.65</w:t>
            </w: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78.15</w:t>
            </w:r>
          </w:p>
        </w:tc>
        <w:tc>
          <w:tcPr>
            <w:tcW w:w="0" w:type="dxa"/>
            <w:vAlign w:val="bottom"/>
          </w:tcPr>
          <w:p>
            <w:pPr>
              <w:spacing w:after="0"/>
              <w:rPr>
                <w:sz w:val="1"/>
                <w:szCs w:val="1"/>
                <w:color w:val="auto"/>
              </w:rPr>
            </w:pPr>
          </w:p>
        </w:tc>
      </w:tr>
      <w:tr>
        <w:trPr>
          <w:trHeight w:val="198"/>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Forfeited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300" w:type="dxa"/>
            <w:vAlign w:val="bottom"/>
            <w:tcBorders>
              <w:bottom w:val="single" w:sz="8" w:color="CCEEFF"/>
            </w:tcBorders>
          </w:tcPr>
          <w:p>
            <w:pPr>
              <w:spacing w:after="0"/>
              <w:rPr>
                <w:sz w:val="17"/>
                <w:szCs w:val="17"/>
                <w:color w:val="auto"/>
              </w:rPr>
            </w:pP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94.43</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Outstanding as of April 30, 2026</w:t>
            </w:r>
          </w:p>
        </w:tc>
        <w:tc>
          <w:tcPr>
            <w:tcW w:w="1980" w:type="dxa"/>
            <w:vAlign w:val="bottom"/>
            <w:tcBorders>
              <w:bottom w:val="single" w:sz="8" w:color="auto"/>
            </w:tcBorders>
            <w:shd w:val="clear" w:color="auto" w:fill="CCEEFF"/>
          </w:tcPr>
          <w:p>
            <w:pPr>
              <w:jc w:val="center"/>
              <w:ind w:left="1388"/>
              <w:spacing w:after="0"/>
              <w:rPr>
                <w:sz w:val="20"/>
                <w:szCs w:val="20"/>
                <w:color w:val="auto"/>
              </w:rPr>
            </w:pPr>
            <w:r>
              <w:rPr>
                <w:rFonts w:ascii="Arial" w:cs="Arial" w:eastAsia="Arial" w:hAnsi="Arial"/>
                <w:sz w:val="14"/>
                <w:szCs w:val="14"/>
                <w:color w:val="auto"/>
              </w:rPr>
              <w:t>2,848</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86.13</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Performance restricted stock units. </w:t>
      </w:r>
      <w:r>
        <w:rPr>
          <w:rFonts w:ascii="Arial" w:cs="Arial" w:eastAsia="Arial" w:hAnsi="Arial"/>
          <w:sz w:val="18"/>
          <w:szCs w:val="18"/>
          <w:color w:val="auto"/>
        </w:rPr>
        <w:t>During the three months ended April 30, 2026, the Company awarded 240,239 PRSUs subject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condition based on the Company’s total shareholder return relative to the Russell 3000 index as measured on January 31, 2029. The Company used a Monte Carlo simulation to determine that the grant date fair value of the awards was $28.8 million. Compensation expense is recorded over the requisite service period if the service condition is met regardless of whether the market condition is satisfied. The market condition allows for a range of vesting from 0% to 200% based on the level of performance achieved. The PRSUs cliff vest upon approval by the Talent, Compensation and Culture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during the three months ended April 30, 2026, the Company awarded 80,081 PRSUs subject to the achievement of certain financial criteria measured on January 31, 2029. The PRSUs cliff vest and are issued upon approval by the Talent, Compensation and Culture Committee. The Company records stock-based compensation related to PRSUs over the requisite service period when it is considered probable that the performance conditions will be met. The Company believes it is probable that the PRSUs will vest at least in part. The vesting of the PRSUs will ultimately range from 0% to 200% of the number of shares underlying the PRSU grant based on the level of achievement of the performance goals.</w:t>
      </w:r>
    </w:p>
    <w:p>
      <w:pPr>
        <w:spacing w:after="0" w:line="7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Each of the PRSUs granted during the three months ended April 30, 2026 contains a provision such that upon the award holder's eligible retirement, the PRSUs would remain outstanding and eligible to vest based on achievement of their respective market or performance conditions without regard to the award holder’s continued employment on the vesting date. Based on the application of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expense is recognized over the requisite service period, which ends on the earlier of (1)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the Talent, Compensation and Culture Committee or (2) the date the award holder becomes eligible for retirement. As a result, the expense associated with PRSUs granted to retirement-eligible individuals was recorded on the grant date.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Stockholders'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 August 2024, the Company's board of directors authorized the repurchase of up to $300 million of its common stock. In June 2025, the board of directors increased the common stock repurchase authorization by $300 million.</w:t>
      </w:r>
    </w:p>
    <w:p>
      <w:pPr>
        <w:spacing w:after="0" w:line="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common stock may be repurchased at prices that the Company deems appropriate and subject to market conditions, applicable law, and other factors deemed relevant in the Company's sole discretion. Such repurchases may be effected through open market purchases, privately negotiated transactions or otherwise, including repurchase plans that satisfy the conditions of Rule 10b5-1 under the Securities Exchange Act of 1934. The common stock repurchase program does not obligate the Company to repurchase any dollar amount or number of shares of common stock and may be suspended or discontinued at any time.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common stock repurchased and subsequently retired during the three months ended April 30, 2026: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0" w:type="dxa"/>
            <w:vAlign w:val="bottom"/>
            <w:tcBorders>
              <w:top w:val="single" w:sz="8" w:color="auto"/>
            </w:tcBorders>
          </w:tcPr>
          <w:p>
            <w:pPr>
              <w:spacing w:after="0"/>
              <w:rPr>
                <w:sz w:val="18"/>
                <w:szCs w:val="18"/>
                <w:color w:val="auto"/>
              </w:rPr>
            </w:pPr>
          </w:p>
        </w:tc>
        <w:tc>
          <w:tcPr>
            <w:tcW w:w="4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 2026</w:t>
            </w:r>
          </w:p>
        </w:tc>
      </w:tr>
      <w:tr>
        <w:trPr>
          <w:trHeight w:val="197"/>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r>
      <w:tr>
        <w:trPr>
          <w:trHeight w:val="193"/>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Common stock repurchases (1)</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80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122,998</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Shares repurchased include unsettled repurchases as of April 30, 2026. Transaction fees and excise tax were recorded as part of the repurchase price.</w:t>
      </w:r>
    </w:p>
    <w:p>
      <w:pPr>
        <w:spacing w:after="0" w:line="1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All repurchases were made in open market transactions. The excess of repurchase price over par value was allocated between additional paid-in capital and retained earnings. As of April 30, 2026, $55.6 million of common stock remained authorized for repurchase under the common stock repurchase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May 2026, the board of directors increased the common stock repurchase authorization by $1.0 billion.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2026, accumulated other comprehensive income or loss ("AOCI") consisted of unrealized losses on cash flow hedges,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AOCI:</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Change in unrealized</w:t>
            </w:r>
          </w:p>
        </w:tc>
        <w:tc>
          <w:tcPr>
            <w:tcW w:w="6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losses on cash flow</w:t>
            </w: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tax benefit</w:t>
            </w: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1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hedges</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January 31, 2026</w:t>
            </w: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(7,561)</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(5,707)</w:t>
            </w:r>
          </w:p>
        </w:tc>
        <w:tc>
          <w:tcPr>
            <w:tcW w:w="0" w:type="dxa"/>
            <w:vAlign w:val="bottom"/>
          </w:tcPr>
          <w:p>
            <w:pPr>
              <w:spacing w:after="0"/>
              <w:rPr>
                <w:sz w:val="1"/>
                <w:szCs w:val="1"/>
                <w:color w:val="auto"/>
              </w:rPr>
            </w:pPr>
          </w:p>
        </w:tc>
      </w:tr>
      <w:tr>
        <w:trPr>
          <w:trHeight w:val="192"/>
        </w:trPr>
        <w:tc>
          <w:tcPr>
            <w:tcW w:w="610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8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(34,312)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8,415</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(25,897)</w:t>
            </w: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8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2"/>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change in AOCI</w:t>
            </w: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(34,508)</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8,463</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(26,045)</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as of April 30, 2026</w:t>
            </w: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(42,069)</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10,317</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u w:val="single" w:color="auto"/>
          <w:color w:val="auto"/>
        </w:rPr>
        <w:t>Derivative financial instruments and hedging activities</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Yields paid by the Company's insurance company partners and depository partners are impacted by the prevailing interest rate environment at the time HSA cash is placed with those partners. The Company uses Treasury bond forwards to hedge a portion of the benchmark interest rate risk of expected future placements of HSA cash. These derivatives involve the Company and its counterparty agreeing to fix the price of a specified Treasury bond on a future date, ranging from June 2026 to January 2029, resulting in cash settlement for the difference between the fixed price and the market price on that date. The parties may elect net settlement of multiple transactions under certain conditions; however, the Company presents its derivative assets and liabilities on a gross basis on its condensed consolidated balance sheets. The gain or loss on the derivative is recorded in AOCI and subsequently reclassified into custodial revenue in the same periods during which the hedged transaction affects custodial revenue earned from the Company's insurance company partners and depository partners. As of April 30, 2026, each of the Company's derivatives was designated as a cash flow hedge.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the April 30, 2026, the weighted average interest rate indicated by the Company's Treasury bond forwards was 3.91%.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Notional amount of derivative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 of the Company's derivative instruments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w:t>
            </w:r>
          </w:p>
        </w:tc>
        <w:tc>
          <w:tcPr>
            <w:tcW w:w="2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2026</w:t>
            </w:r>
          </w:p>
        </w:tc>
        <w:tc>
          <w:tcPr>
            <w:tcW w:w="100" w:type="dxa"/>
            <w:vAlign w:val="bottom"/>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2026</w:t>
            </w:r>
          </w:p>
        </w:tc>
        <w:tc>
          <w:tcPr>
            <w:tcW w:w="0" w:type="dxa"/>
            <w:vAlign w:val="bottom"/>
          </w:tcPr>
          <w:p>
            <w:pPr>
              <w:spacing w:after="0"/>
              <w:rPr>
                <w:sz w:val="1"/>
                <w:szCs w:val="1"/>
                <w:color w:val="auto"/>
              </w:rPr>
            </w:pPr>
          </w:p>
        </w:tc>
      </w:tr>
      <w:tr>
        <w:trPr>
          <w:trHeight w:val="66"/>
        </w:trPr>
        <w:tc>
          <w:tcPr>
            <w:tcW w:w="3120" w:type="dxa"/>
            <w:vAlign w:val="bottom"/>
            <w:vMerge w:val="continue"/>
          </w:tcPr>
          <w:p>
            <w:pPr>
              <w:spacing w:after="0"/>
              <w:rPr>
                <w:sz w:val="5"/>
                <w:szCs w:val="5"/>
                <w:color w:val="auto"/>
              </w:rPr>
            </w:pPr>
          </w:p>
        </w:tc>
        <w:tc>
          <w:tcPr>
            <w:tcW w:w="2020" w:type="dxa"/>
            <w:vAlign w:val="bottom"/>
            <w:vMerge w:val="restart"/>
          </w:tcPr>
          <w:p>
            <w:pPr>
              <w:jc w:val="right"/>
              <w:ind w:right="8"/>
              <w:spacing w:after="0"/>
              <w:rPr>
                <w:sz w:val="20"/>
                <w:szCs w:val="20"/>
                <w:color w:val="auto"/>
              </w:rPr>
            </w:pPr>
            <w:r>
              <w:rPr>
                <w:rFonts w:ascii="Arial" w:cs="Arial" w:eastAsia="Arial" w:hAnsi="Arial"/>
                <w:sz w:val="14"/>
                <w:szCs w:val="14"/>
                <w:color w:val="auto"/>
              </w:rPr>
              <w:t>Number of instruments</w:t>
            </w:r>
          </w:p>
        </w:tc>
        <w:tc>
          <w:tcPr>
            <w:tcW w:w="600" w:type="dxa"/>
            <w:vAlign w:val="bottom"/>
          </w:tcPr>
          <w:p>
            <w:pPr>
              <w:spacing w:after="0"/>
              <w:rPr>
                <w:sz w:val="5"/>
                <w:szCs w:val="5"/>
                <w:color w:val="auto"/>
              </w:rPr>
            </w:pPr>
          </w:p>
        </w:tc>
        <w:tc>
          <w:tcPr>
            <w:tcW w:w="15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Notional</w:t>
            </w:r>
          </w:p>
        </w:tc>
        <w:tc>
          <w:tcPr>
            <w:tcW w:w="2000" w:type="dxa"/>
            <w:vAlign w:val="bottom"/>
            <w:vMerge w:val="restart"/>
          </w:tcPr>
          <w:p>
            <w:pPr>
              <w:jc w:val="right"/>
              <w:spacing w:after="0"/>
              <w:rPr>
                <w:sz w:val="20"/>
                <w:szCs w:val="20"/>
                <w:color w:val="auto"/>
              </w:rPr>
            </w:pPr>
            <w:r>
              <w:rPr>
                <w:rFonts w:ascii="Arial" w:cs="Arial" w:eastAsia="Arial" w:hAnsi="Arial"/>
                <w:sz w:val="14"/>
                <w:szCs w:val="14"/>
                <w:color w:val="auto"/>
              </w:rPr>
              <w:t>Number of instruments</w:t>
            </w:r>
          </w:p>
        </w:tc>
        <w:tc>
          <w:tcPr>
            <w:tcW w:w="480" w:type="dxa"/>
            <w:vAlign w:val="bottom"/>
          </w:tcPr>
          <w:p>
            <w:pPr>
              <w:spacing w:after="0"/>
              <w:rPr>
                <w:sz w:val="5"/>
                <w:szCs w:val="5"/>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Notional</w:t>
            </w:r>
          </w:p>
        </w:tc>
        <w:tc>
          <w:tcPr>
            <w:tcW w:w="0" w:type="dxa"/>
            <w:vAlign w:val="bottom"/>
          </w:tcPr>
          <w:p>
            <w:pPr>
              <w:spacing w:after="0"/>
              <w:rPr>
                <w:sz w:val="1"/>
                <w:szCs w:val="1"/>
                <w:color w:val="auto"/>
              </w:rPr>
            </w:pPr>
          </w:p>
        </w:tc>
      </w:tr>
      <w:tr>
        <w:trPr>
          <w:trHeight w:val="18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 of instruments)</w:t>
            </w:r>
          </w:p>
        </w:tc>
        <w:tc>
          <w:tcPr>
            <w:tcW w:w="20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Treasury bond forwards</w:t>
            </w:r>
          </w:p>
        </w:tc>
        <w:tc>
          <w:tcPr>
            <w:tcW w:w="2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60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3,495,000</w:t>
            </w:r>
          </w:p>
        </w:tc>
        <w:tc>
          <w:tcPr>
            <w:tcW w:w="10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2,350,000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contracts</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tables below present the fair value of the Company’s derivatives as well as their classification in the condensed consolidated balance sheet.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April 30, 2026</w:t>
            </w:r>
          </w:p>
        </w:tc>
        <w:tc>
          <w:tcPr>
            <w:tcW w:w="1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198"/>
        </w:trPr>
        <w:tc>
          <w:tcPr>
            <w:tcW w:w="3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Derivative assets</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color w:val="auto"/>
              </w:rPr>
              <w:t>Derivative liabilities</w:t>
            </w:r>
          </w:p>
        </w:tc>
      </w:tr>
      <w:tr>
        <w:trPr>
          <w:trHeight w:val="202"/>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Other current assets</w:t>
            </w:r>
          </w:p>
        </w:tc>
        <w:tc>
          <w:tcPr>
            <w:tcW w:w="8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color w:val="auto"/>
              </w:rPr>
              <w:t>Other assets</w:t>
            </w:r>
          </w:p>
        </w:tc>
        <w:tc>
          <w:tcPr>
            <w:tcW w:w="13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Accrued liabilities</w:t>
            </w: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Other long-term liabilities</w:t>
            </w:r>
          </w:p>
        </w:tc>
      </w:tr>
      <w:tr>
        <w:trPr>
          <w:trHeight w:val="193"/>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Treasury bond forwards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666</w:t>
            </w:r>
          </w:p>
        </w:tc>
        <w:tc>
          <w:tcPr>
            <w:tcW w:w="86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gridSpan w:val="3"/>
            <w:shd w:val="clear" w:color="auto" w:fill="CCEEFF"/>
          </w:tcPr>
          <w:p>
            <w:pPr>
              <w:ind w:left="920"/>
              <w:spacing w:after="0"/>
              <w:rPr>
                <w:sz w:val="20"/>
                <w:szCs w:val="20"/>
                <w:color w:val="auto"/>
              </w:rPr>
            </w:pPr>
            <w:r>
              <w:rPr>
                <w:rFonts w:ascii="Arial" w:cs="Arial" w:eastAsia="Arial" w:hAnsi="Arial"/>
                <w:sz w:val="14"/>
                <w:szCs w:val="14"/>
                <w:color w:val="auto"/>
              </w:rPr>
              <w:t>—   $</w:t>
            </w:r>
          </w:p>
        </w:tc>
        <w:tc>
          <w:tcPr>
            <w:tcW w:w="13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(19,387)</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(27,161)</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January 31, 2026</w:t>
            </w:r>
          </w:p>
        </w:tc>
        <w:tc>
          <w:tcPr>
            <w:tcW w:w="1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198"/>
        </w:trPr>
        <w:tc>
          <w:tcPr>
            <w:tcW w:w="3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Derivative assets</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color w:val="auto"/>
              </w:rPr>
              <w:t>Derivative liabilities</w:t>
            </w:r>
          </w:p>
        </w:tc>
      </w:tr>
      <w:tr>
        <w:trPr>
          <w:trHeight w:val="202"/>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Other current assets</w:t>
            </w: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Other assets</w:t>
            </w:r>
          </w:p>
        </w:tc>
        <w:tc>
          <w:tcPr>
            <w:tcW w:w="6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Accrued liabilities</w:t>
            </w: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Other long-term liabilities</w:t>
            </w:r>
          </w:p>
        </w:tc>
      </w:tr>
      <w:tr>
        <w:trPr>
          <w:trHeight w:val="193"/>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Treasury bond forwards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250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4"/>
                <w:szCs w:val="14"/>
                <w:color w:val="auto"/>
              </w:rPr>
              <w:t>—   $</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3,285</w:t>
            </w: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(6,935)</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(7,997)</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derivatives on the 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pre-tax losses on the Company's cash flow hedges recognized in AOCI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8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9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3"/>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Treasury bond forwards</w:t>
            </w:r>
          </w:p>
        </w:tc>
        <w:tc>
          <w:tcPr>
            <w:tcW w:w="360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34,312</w:t>
            </w:r>
          </w:p>
        </w:tc>
        <w:tc>
          <w:tcPr>
            <w:tcW w:w="9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amounts presented in the condensed consolidated 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April 30,</w:t>
            </w:r>
          </w:p>
        </w:tc>
        <w:tc>
          <w:tcPr>
            <w:tcW w:w="1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Custodial</w:t>
            </w:r>
          </w:p>
        </w:tc>
        <w:tc>
          <w:tcPr>
            <w:tcW w:w="1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Income tax</w:t>
            </w:r>
          </w:p>
        </w:tc>
        <w:tc>
          <w:tcPr>
            <w:tcW w:w="280" w:type="dxa"/>
            <w:vAlign w:val="bottom"/>
          </w:tcPr>
          <w:p>
            <w:pPr>
              <w:spacing w:after="0"/>
              <w:rPr>
                <w:sz w:val="12"/>
                <w:szCs w:val="12"/>
                <w:color w:val="auto"/>
              </w:rPr>
            </w:pPr>
          </w:p>
        </w:tc>
        <w:tc>
          <w:tcPr>
            <w:tcW w:w="136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96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Custodial</w:t>
            </w:r>
          </w:p>
        </w:tc>
        <w:tc>
          <w:tcPr>
            <w:tcW w:w="1140" w:type="dxa"/>
            <w:vAlign w:val="bottom"/>
          </w:tcPr>
          <w:p>
            <w:pPr>
              <w:jc w:val="right"/>
              <w:ind w:right="268"/>
              <w:spacing w:after="0" w:line="143" w:lineRule="exact"/>
              <w:rPr>
                <w:sz w:val="20"/>
                <w:szCs w:val="20"/>
                <w:color w:val="auto"/>
              </w:rPr>
            </w:pPr>
            <w:r>
              <w:rPr>
                <w:rFonts w:ascii="Arial" w:cs="Arial" w:eastAsia="Arial" w:hAnsi="Arial"/>
                <w:sz w:val="14"/>
                <w:szCs w:val="14"/>
                <w:b w:val="1"/>
                <w:bCs w:val="1"/>
                <w:color w:val="auto"/>
              </w:rPr>
              <w:t>Income tax</w:t>
            </w:r>
          </w:p>
        </w:tc>
        <w:tc>
          <w:tcPr>
            <w:tcW w:w="12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revenue</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provision</w:t>
            </w: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reclassifications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revenue</w:t>
            </w: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provision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reclassifications</w:t>
            </w: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bond forwards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Amount of gains reclassified from AOCI</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April 30, 2026, the estimated amount of AOCI that is expected to be reclassified into earnings within the next 12 months is a net loss of $1.2 million.</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u w:val="single" w:color="auto"/>
          <w:color w:val="auto"/>
        </w:rPr>
        <w:t>Fair value</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Fair value measurements are made at a specific point in time based on relevant market information. Fair value is defined as the price that would be received to sell an asset or paid to transfer a liability in the principal or most advantageous market for the asset or liability in an orderly transaction between market participants at the measurement date.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 value hierarchy:</w:t>
      </w:r>
    </w:p>
    <w:p>
      <w:pPr>
        <w:spacing w:after="0" w:line="74"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2—inputs, other than the quoted prices in active markets, that are observable either directly or indirectly;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3—unobservable inputs based on the Company’s own assumptions.</w:t>
      </w:r>
    </w:p>
    <w:p>
      <w:pPr>
        <w:spacing w:after="0" w:line="99"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Cash and cash equivalents are considered Level 1 instruments and are valued based on publicly available daily net asset values. The carrying values of cash and cash equivalents approximate fair values due to the short-term nature of these instruments.</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Notes are valued based upon quoted market prices and are considered Level 2 instruments because the markets in which the Notes trade are not considered active markets. As of April 30, 2026, the fair value of the Notes was $583.5 million.</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Revolving Credit Facility is considered a Level 2 instrument, and the amounts outstanding thereunder are recorded at book value in the Company's condensed consolidated financial statements. The Revolving Credit Facility reprices frequently due to variable interest rate terms and entails no significant changes in credit risk. As a result, the fair value of the Revolving Credit Facility approximates carrying value.</w:t>
      </w:r>
    </w:p>
    <w:p>
      <w:pPr>
        <w:spacing w:after="0" w:line="6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Company classifies derivative instruments as Level 2 within the fair value hierarchy. These instruments are valued using industry standard valuation models that use observable inputs such as interest rate curves and implied volatilities.</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300"/>
        <w:spacing w:after="0" w:line="29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Statements that are not purely historical are forward-looking statements within the meaning of Section 27A of the Securities Act of 1933, as amended (the “Securities Act”), and Section 21E of the Securities Exchange Act of 1934, as amended (the “Exchange Act”). Forward-looking statements are often identified by the use of words such as, but not limited to, “anticipate,” “believe,” “can,” “continue,” “could,” “estimate,” “expect,” “intend,” “may,” “plan,” “project,” “seek,” “should,” “target,” “will,” “would” and similar expressions or variations intended to identify forward-looking statements. Such statements include, but are not limited to, statements concerning our ability to integrate acquired businesses, the anticipated synergies and other benefits of acquired businesses and any future acquisitions, health savings accounts and other tax-advantaged consumer-directed benefits, tax and other regulatory changes, market opportunity, our future financial and operating results, our investment and acquisition strategy, our sales and marketing strategy, management’s plans, beliefs and objectives for future operations, technology and development, economic and industry trends or trend analysis, expectations about seasonality, opportunity for portfolio purchases and other acquisitions, operating expenses, anticipated income tax rates, capital expenditures, cash flows and liquidity. These statements are based on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fiscal year ended January 31, 2026 and our other reports filed with the SEC. Furthermore, such forward-looking statements speak only as of the date of this report. Except as required by law, we undertake no obligation to update any forward-looking statements to reflect events or circumstances after the date of such events.</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 leader and an innovator in providing technology-enabled services that empower consumers to make healthcare saving, spending, and investing decisions. We use our innovative technology to manage consumers' tax-advantaged health savings accounts ("HSAs") and other consumer-directed benefits ("CDBs") offered by employers, including flexible spending accounts and health reimbursement arrangements (“FSAs” and “HRAs”), and to administer Consolidated Omnibus Budget Reconciliation Act (“COBRA”), commuter and other benefits. As part of our services, we provide consumers with payment processing services, personalized benefit information, access to healthcare solutions through our marketplace, and investment advice to grow their tax-advantaged healthcare savings.</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core of our offerings is the HSA, a financial account through which consumers save, spend, and invest their healthcare dollars on a tax-advantaged basis. As of April 30, 2026, we administered 10.6 million HSAs, with balances totaling $37.1 billion, which we call HSA Assets, as well as 7.2 million complementary CDBs. We refer to the aggregate number of HSAs and other CDBs that we administer as Total Accounts, of which we had 17.8 million as of April 30, 2026.</w:t>
      </w:r>
    </w:p>
    <w:p>
      <w:pPr>
        <w:spacing w:after="0" w:line="68" w:lineRule="exact"/>
        <w:rPr>
          <w:sz w:val="20"/>
          <w:szCs w:val="20"/>
          <w:color w:val="auto"/>
        </w:rPr>
      </w:pPr>
    </w:p>
    <w:p>
      <w:pPr>
        <w:jc w:val="both"/>
        <w:ind w:right="740"/>
        <w:spacing w:after="0" w:line="268" w:lineRule="auto"/>
        <w:rPr>
          <w:sz w:val="20"/>
          <w:szCs w:val="20"/>
          <w:color w:val="auto"/>
        </w:rPr>
      </w:pPr>
      <w:r>
        <w:rPr>
          <w:rFonts w:ascii="Arial" w:cs="Arial" w:eastAsia="Arial" w:hAnsi="Arial"/>
          <w:sz w:val="18"/>
          <w:szCs w:val="18"/>
          <w:color w:val="auto"/>
        </w:rPr>
        <w:t>We reach consumers primarily through relationships with their employers, which we call Clients. We reach Clients primarily through relationships with benefits brokers and advisors, integrated partnerships with a network of health plans, benefits administrators, and retirement plan recordkeepers, which we call Network Partners, and a sales force that calls on Clients directly.</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increased our share of the growing HSA market from 4% in December 2010 to 20% as of December 2025, measured by HSA Assets. According to the 2025 Year-End Devenir HSA Research Report, as of December 2025, we were the largest HSA provider by number of accounts and the second largest HSA provider by HSA Assets. In addition, we believe we are the largest provider of other CDBs. We seek to differentiate ourselves through our service-driven culture, product breadth, ecosystem connectivity, and proprietary technology, which enable our members to better save, spend, and invest their healthcare dollars. Our proprietary technology allows us to help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consumers optimize the value of their HSAs and other CDBs and gain confidence and skills in managing their healthcare costs as part of their financial security.</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ability to assist consumers is enhanced by our capacity to securely share data in both directions with others in the health, benefits, and retirement ecosystems.</w:t>
      </w:r>
    </w:p>
    <w:p>
      <w:pPr>
        <w:spacing w:after="0" w:line="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earn revenue primarily from three sources: service, custodial, and interchange. We earn service revenue mainly from fees paid by our Clients, Network Partners, and members for the administration services we provide in connection with the HSAs and other CDBs we offer. Service revenue also includes revenue earned from invested HSA Assets and our marketplace. We earn custodial revenue primarily from HSA cash held by our insurance company partners, HSA cash held by our federally insured bank and credit union partners, which we collectively call our Depository Partners, and Client-held funds deposited with our Depository Partners. We earn interchange revenue mainly from fees paid by merchants on payments that our members make using our physical payment cards and on our virtual payment system. See “Key components of our results of operations” for additional information on our sources of revenue.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0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that our future performance will be driven by a number of factors, including those identified below. Each of these factors presents both significant opportunities and significant risks to our future performance. See also the section entitled “Risk factors” included in our Annual Report on Form 10-K for the fiscal year ended January 31, 2026 and our other reports filed with the SEC.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selective acquisition strategy</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historically acquired HSA portfolios and businesses that we believe strengthen our service offerings. We expect to continue this growth strategy and are regularly engaged in evaluating different opportunities. We have developed an internal capability to source, evaluate, and integrate acquisitions. We believe the nature of our competitive landscape provides significant acquisition opportunities. Many of our competitors view their HSA businesses as non-core functions. We believe they may look to divest these assets and, in certain cases, may be limited from making acquisitions due to depository capital requirements. Our success depends in part on our ability to successfully integrate acquired businesses and HSA portfolios with our business in an efficient and effective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Structural change in U.S. health insurance</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derive revenue primarily from healthcare-related saving and spending by consumers in the U.S., which are driven by changes in the broader healthcare industry, including the structure of health insurance. According to the 2025 KFF Employer Health Benefits Survey, the average family premium for health insurance has risen by 26% since 2020 and 53% since 2015, resulting in increased participation in HSA-qualified health plans and HSAs and increased consumer cost-sharing in health insurance more generally. In July 2025, the “One Big Beautiful Bill Act” was signed into law, which expanded HSA availability to individuals with Bronze and Catastrophic health plans and expanded HSA eligibility to include a broader range of healthcare services. We believe that continued growth in healthcare costs and related factors will spur continued growth in HSA-qualified health plans and HSAs and may encourage additional policy changes making HSAs or similar vehicles available to new populations such as individuals in Medicare. However, the timing and impact of these and other developments in U.S. healthcare are uncertain. Moreover, changes in healthcare policy, such as "Medicare for all" plans, could materially and adversely affect our business in ways that are difficult to predict.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in U.S. tax law</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Tax law has a profound impact on our business. Our offerings to members, Clients, and Network Partners consist primarily of services enabled, mandated, or advantaged by provisions of U.S. tax law and regulations. Changes in tax policy are speculative and may affect our business in ways that are difficult to predict.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 base</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business model is based on a B2B2C distribution strategy, whereby we work with Network Partners and Clients to reach consumers to increase the number of our members with HSA accounts and complementary CDBs. We believe that there are significant opportunities to expand the scope of services that we provide to our current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 distribution footprint</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we have a diverse distribution footprint to attract new Clients and Network Partners. Our sales force calls on enterprise and regional employers in industries across the U.S., as well as potential Network Partners from among health plans, benefits administrators, and retirement plan record keepers. Our integrations with Network Partners provide a key channel through which we gain access to Clients and members. Our Network Partners collectively employ thousands of sales representatives and account managers who promote both the Network Partners' products and our products and services. Our sales representatives and account management teams work with and train the sales representatives and account management teams of our Network Partners.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breadth</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 leader in administering HSAs and each of the major categories of complementary CDBs, including FSAs and HRAs, COBRA and commuter benefits. Our Clients and their benefits advisors increasingly seek HSA providers that can deliver a bundled offering of HSAs and complementary CDBs. With our CDB capabilities, we can provide employers with a single partner for both HSAs and complementary CDBs, which is preferred by the vast majority of employers, according to research conducted for us by Aite Group. We believe that the combination of HSA and complementary CDB offerings significantly strengthens our value proposition to employers, health benefits brokers and consultants, and Network Partners as a leading single-source provider.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non-bank custodian, our members’ custodial HSA cash assets are held by either our insurance company partners through group annuity contracts or other similar arrangements (our "Enhanced Rates" offering) or by our federally insured Depository Partners (our "Basic Rates" offering), pursuant to contractual arrangements we have with these Depository Partners. As our Basic Rates contracts continue to expire, the HSA cash held in those Basic Rates contracts will transition to Enhanced Rates contracts, subject to our members retaining the right to keep their HSA cash in Basic Rates.</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HSA members who allocate HSA cash to our Enhanced Rates offering retain a higher yield compared to our Basic Rates offering. An increase in the percentage of HSA cash held in our Enhanced Rates offering also positively impacts our custodial revenue, as we generally earn a higher yield on HSA cash held by our insurance company partners compared to HSA cash held by our Depository Partners. The yields paid by our insurance company partners are impacted by the prevailing interest rate environment, which in turn is driven by macroeconomic factors and government policies over which we have no control. Such factors, and the responses of our competitors to them, also determine the amount of interest retained by our members.</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lengths of our agreements with Depository Partners typically range from three to five years and may have fixed or variable interest rate terms. As with our insurance company partners, the terms of new and renewing agreements with our Depository Partners are impacted by the then-prevailing interest rate environment, which in turn is driven by macroeconomic factors and government policies over which we have no control. Such factors, and the responses of our competitors to them, also determine the amount of interest retained by our members.</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believe that increased participation in our Enhanced Rates offering, diversification of insurance company partners and Depository Partners, varied contract terms, and other factors reduce our exposure to short-term fluctuations in prevailing interest rates and mitigate the short-term impact of sustained increases or declines in prevailing interest rates on our custodial revenue. In addition, as further described in Note 10—Derivative financial instruments and hedging activities, the Company uses Treasury bond forwards to hedge a portion of the benchmark interest rate risk of expected future placements of HSA cash. Over longer periods, sustained shifts in prevailing interest rates affect the amount of custodial revenue we can realize on custodial assets and the interest retained by our members.</w:t>
      </w:r>
    </w:p>
    <w:p>
      <w:pPr>
        <w:spacing w:after="0" w:line="74"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Interest on our revolving credit facility changes frequently due to variable interest rate terms, and as a result, our interest expense is expected to fluctuate based on changes in prevailing interest rates.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technology</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that innovations incorporated in our technology differentiate us from our competitors and help drive our growth by enabling us to better assist consumers to make healthcare saving and spending decisions and maximize the value of their tax-advantaged benefits. Our full suite of CDB offerings complements our HSA solution and enhances our leadership position within the HSA sector. We are currently investing in a modernization of our proprietary technology platforms to support new opportunities and enhance security, privacy and platform infrastructure, while maintaining existing applications, features, and services. For example, we are continuing to make investments in the architecture and infrastructure of the technology that we use to provide our services to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improve our transaction processing capabilities and support continued account and transaction growth, as well as in data-driven personalized engagement to help our members spend less, save more, and build wealth for retirement.</w:t>
      </w:r>
    </w:p>
    <w:p>
      <w:pPr>
        <w:spacing w:after="0" w:line="4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investing in technology solutions to meet the evolving needs of our members, Clients and Network Partners. We also increasingly use AI tools and technologies to improve customer service, facilitate member personalization, lower costs, and increase efficiencies. Our current innovation efforts include, among others, increasing member and Client self-service capabilities, developing APIs, driving electronic communication rather than paper, increasing straight-through processing, improving overall process times utilizing traditional robotic process automation, providing our members access to healthcare solutions through our marketplace, and AI tools including the Expedited Claims and HSAnswers tools, leveraging chip-enabled stacked cards, and mobile wallet.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Purple culture</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 successful healthcare consumer needs education and guidance delivered by people as well as by technology. The education and customer service we provide is driven by our Purple culture, which we believe is a significant factor in our ability to attract and retain customers and to address opportunities in the rapidly changing healthcare sector. We invest in and intend to continue to invest in human capital through technology-enabled training, career development, and advancement opportunities.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competition and industry</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Our direct competitors are HSA custodians and other CDB providers. Many of these are state or federally chartered banks and other financial institutions for which we believe benefits administration services are not a core business. Some of our direct competitors (including </w:t>
      </w:r>
      <w:r>
        <w:rPr>
          <w:rFonts w:ascii="Arial" w:cs="Arial" w:eastAsia="Arial" w:hAnsi="Arial"/>
          <w:sz w:val="18"/>
          <w:szCs w:val="18"/>
          <w:color w:val="212529"/>
        </w:rPr>
        <w:t>well-known retail investment companies, such as Fidelity Investments, and healthcare service companies such as UnitedHealth Group's Optum and Webster Bank</w:t>
      </w:r>
      <w:r>
        <w:rPr>
          <w:rFonts w:ascii="Arial" w:cs="Arial" w:eastAsia="Arial" w:hAnsi="Arial"/>
          <w:sz w:val="18"/>
          <w:szCs w:val="18"/>
          <w:color w:val="000000"/>
        </w:rPr>
        <w:t>) are in a position to devote more resources to the development, sale, and support of their products and services than we</w:t>
      </w:r>
      <w:r>
        <w:rPr>
          <w:rFonts w:ascii="Arial" w:cs="Arial" w:eastAsia="Arial" w:hAnsi="Arial"/>
          <w:sz w:val="18"/>
          <w:szCs w:val="18"/>
          <w:color w:val="212529"/>
        </w:rPr>
        <w:t xml:space="preserve"> </w:t>
      </w:r>
      <w:r>
        <w:rPr>
          <w:rFonts w:ascii="Arial" w:cs="Arial" w:eastAsia="Arial" w:hAnsi="Arial"/>
          <w:sz w:val="18"/>
          <w:szCs w:val="18"/>
          <w:color w:val="000000"/>
        </w:rPr>
        <w:t>have at our disposal. Our other CDB administration competitors include health insurance carriers, human resources consultants and outsourcers, payroll providers, national CDB specialists, regional third-party administrators, and commercial banks. In addition, numerous indirect competitors, including benefits administration service providers, partner with banks and other HSA custodians to compete with us. Our Network Partners and ecosystem partners may also choose to offer competitive services directly, as some health plans have done. The products, programs, and services made available through our marketplace are part of highly competitive markets and introduce new and sophisticated competitors to us. Our success depends on our ability to predict and react quickly to these and other industry and competitive dynamics.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Federal law and regulations, including the Affordable Care Act, the Internal Revenue Code, the Employee Retirement Income Security Act and Department of Labor regulations, and public health regulations that govern the provision of health insurance and provide the tax advantages associated with our services, play a pivotal role in determining our market opportunity. Privacy and data security-related laws such as the Health Insurance Portability and Accountability Act, or HIPAA, and the Gramm-Leach-Bliley Act, laws governing the provision of investment advice to consumers, such as the Investment Advisers Act of 1940, or the Advisers Act, the USA PATRIOT Act, anti-money laundering laws, and the Federal Deposit Insurance Act, all play a similar role in determining our competitive landscape. In addition, state-level regulations also have significant implications for our business in some cases. For example, our subsidiary HealthEquity Trust Company is regulated by the Wyoming Division of Banking, and several states are considering, or have already passed, new privacy regulations that can affect our business. Various states also have laws and regulations that impose additional restrictions on our collection, storage, and use of personally identifiable information. Privacy regulation in particular has become a priority issue in many states, including, for example, the California Privacy Rights Act. Our ability to predict and react quickly to relevant legal and regulatory trends and to correctly interpret their market and competitive implications is important to our success.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operating metrics</w:t>
      </w:r>
    </w:p>
    <w:p>
      <w:pPr>
        <w:spacing w:after="0" w:line="10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 regularly review a number of key operating and financial metrics to evaluate our business, determine the allocation of our resources, make decisions regarding corporate strategies and evaluate forward-looking projections and trends affecting our business. We discuss certain of these key financial metrics, including revenue, below in the section entitled “Key components of our results of operations.” In addition, we utilize other key metrics as described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Accounts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HSAs, CDBs, and Total Accounts as of and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5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April 30, 2026</w:t>
            </w:r>
          </w:p>
        </w:tc>
        <w:tc>
          <w:tcPr>
            <w:tcW w:w="17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April 30, 2025</w:t>
            </w:r>
          </w:p>
        </w:tc>
        <w:tc>
          <w:tcPr>
            <w:tcW w:w="14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2026</w:t>
            </w:r>
          </w:p>
        </w:tc>
      </w:tr>
      <w:tr>
        <w:trPr>
          <w:trHeight w:val="19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HSAs</w:t>
            </w:r>
          </w:p>
        </w:tc>
        <w:tc>
          <w:tcPr>
            <w:tcW w:w="25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10,635</w:t>
            </w:r>
          </w:p>
        </w:tc>
        <w:tc>
          <w:tcPr>
            <w:tcW w:w="17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9,886</w:t>
            </w:r>
          </w:p>
        </w:tc>
        <w:tc>
          <w:tcPr>
            <w:tcW w:w="1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8 %</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10,570</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New HSAs from sales - Quarter-to-date</w:t>
            </w:r>
          </w:p>
        </w:tc>
        <w:tc>
          <w:tcPr>
            <w:tcW w:w="2560" w:type="dxa"/>
            <w:vAlign w:val="bottom"/>
          </w:tcPr>
          <w:p>
            <w:pPr>
              <w:jc w:val="right"/>
              <w:ind w:right="308"/>
              <w:spacing w:after="0"/>
              <w:rPr>
                <w:sz w:val="20"/>
                <w:szCs w:val="20"/>
                <w:color w:val="auto"/>
              </w:rPr>
            </w:pPr>
            <w:r>
              <w:rPr>
                <w:rFonts w:ascii="Arial" w:cs="Arial" w:eastAsia="Arial" w:hAnsi="Arial"/>
                <w:sz w:val="14"/>
                <w:szCs w:val="14"/>
                <w:color w:val="auto"/>
              </w:rPr>
              <w:t>172</w:t>
            </w:r>
          </w:p>
        </w:tc>
        <w:tc>
          <w:tcPr>
            <w:tcW w:w="1780" w:type="dxa"/>
            <w:vAlign w:val="bottom"/>
          </w:tcPr>
          <w:p>
            <w:pPr>
              <w:jc w:val="right"/>
              <w:ind w:right="508"/>
              <w:spacing w:after="0"/>
              <w:rPr>
                <w:sz w:val="20"/>
                <w:szCs w:val="20"/>
                <w:color w:val="auto"/>
              </w:rPr>
            </w:pPr>
            <w:r>
              <w:rPr>
                <w:rFonts w:ascii="Arial" w:cs="Arial" w:eastAsia="Arial" w:hAnsi="Arial"/>
                <w:sz w:val="14"/>
                <w:szCs w:val="14"/>
                <w:color w:val="auto"/>
              </w:rPr>
              <w:t>150</w:t>
            </w: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15 %</w:t>
            </w:r>
          </w:p>
        </w:tc>
        <w:tc>
          <w:tcPr>
            <w:tcW w:w="1400" w:type="dxa"/>
            <w:vAlign w:val="bottom"/>
          </w:tcPr>
          <w:p>
            <w:pPr>
              <w:jc w:val="right"/>
              <w:spacing w:after="0"/>
              <w:rPr>
                <w:sz w:val="20"/>
                <w:szCs w:val="20"/>
                <w:color w:val="auto"/>
              </w:rPr>
            </w:pPr>
            <w:r>
              <w:rPr>
                <w:rFonts w:ascii="Arial" w:cs="Arial" w:eastAsia="Arial" w:hAnsi="Arial"/>
                <w:sz w:val="14"/>
                <w:szCs w:val="14"/>
                <w:color w:val="auto"/>
              </w:rPr>
              <w:t>553</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HSAs from sales - Year-to-date</w:t>
            </w:r>
          </w:p>
        </w:tc>
        <w:tc>
          <w:tcPr>
            <w:tcW w:w="25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172</w:t>
            </w:r>
          </w:p>
        </w:tc>
        <w:tc>
          <w:tcPr>
            <w:tcW w:w="17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150</w:t>
            </w:r>
          </w:p>
        </w:tc>
        <w:tc>
          <w:tcPr>
            <w:tcW w:w="1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15 %</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New HSAs from acquisitions - Year-to-date</w:t>
            </w:r>
          </w:p>
        </w:tc>
        <w:tc>
          <w:tcPr>
            <w:tcW w:w="2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HSAs with investments</w:t>
            </w:r>
          </w:p>
        </w:tc>
        <w:tc>
          <w:tcPr>
            <w:tcW w:w="25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909</w:t>
            </w:r>
          </w:p>
        </w:tc>
        <w:tc>
          <w:tcPr>
            <w:tcW w:w="17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770</w:t>
            </w:r>
          </w:p>
        </w:tc>
        <w:tc>
          <w:tcPr>
            <w:tcW w:w="1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18 %</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CDBs</w:t>
            </w:r>
          </w:p>
        </w:tc>
        <w:tc>
          <w:tcPr>
            <w:tcW w:w="2560" w:type="dxa"/>
            <w:vAlign w:val="bottom"/>
          </w:tcPr>
          <w:p>
            <w:pPr>
              <w:jc w:val="right"/>
              <w:ind w:right="308"/>
              <w:spacing w:after="0"/>
              <w:rPr>
                <w:sz w:val="20"/>
                <w:szCs w:val="20"/>
                <w:color w:val="auto"/>
              </w:rPr>
            </w:pPr>
            <w:r>
              <w:rPr>
                <w:rFonts w:ascii="Arial" w:cs="Arial" w:eastAsia="Arial" w:hAnsi="Arial"/>
                <w:sz w:val="14"/>
                <w:szCs w:val="14"/>
                <w:color w:val="auto"/>
              </w:rPr>
              <w:t>7,150</w:t>
            </w:r>
          </w:p>
        </w:tc>
        <w:tc>
          <w:tcPr>
            <w:tcW w:w="1780" w:type="dxa"/>
            <w:vAlign w:val="bottom"/>
          </w:tcPr>
          <w:p>
            <w:pPr>
              <w:jc w:val="right"/>
              <w:ind w:right="508"/>
              <w:spacing w:after="0"/>
              <w:rPr>
                <w:sz w:val="20"/>
                <w:szCs w:val="20"/>
                <w:color w:val="auto"/>
              </w:rPr>
            </w:pPr>
            <w:r>
              <w:rPr>
                <w:rFonts w:ascii="Arial" w:cs="Arial" w:eastAsia="Arial" w:hAnsi="Arial"/>
                <w:sz w:val="14"/>
                <w:szCs w:val="14"/>
                <w:color w:val="auto"/>
              </w:rPr>
              <w:t>7,174</w:t>
            </w: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0 %</w:t>
            </w:r>
          </w:p>
        </w:tc>
        <w:tc>
          <w:tcPr>
            <w:tcW w:w="1400" w:type="dxa"/>
            <w:vAlign w:val="bottom"/>
          </w:tcPr>
          <w:p>
            <w:pPr>
              <w:jc w:val="right"/>
              <w:spacing w:after="0"/>
              <w:rPr>
                <w:sz w:val="20"/>
                <w:szCs w:val="20"/>
                <w:color w:val="auto"/>
              </w:rPr>
            </w:pPr>
            <w:r>
              <w:rPr>
                <w:rFonts w:ascii="Arial" w:cs="Arial" w:eastAsia="Arial" w:hAnsi="Arial"/>
                <w:sz w:val="14"/>
                <w:szCs w:val="14"/>
                <w:color w:val="auto"/>
              </w:rPr>
              <w:t>7,221</w:t>
            </w: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Accounts</w:t>
            </w:r>
          </w:p>
        </w:tc>
        <w:tc>
          <w:tcPr>
            <w:tcW w:w="25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17,785</w:t>
            </w:r>
          </w:p>
        </w:tc>
        <w:tc>
          <w:tcPr>
            <w:tcW w:w="17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17,060</w:t>
            </w:r>
          </w:p>
        </w:tc>
        <w:tc>
          <w:tcPr>
            <w:tcW w:w="1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4 %</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17,791</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Average Total Accounts - Quarter-to-date</w:t>
            </w:r>
          </w:p>
        </w:tc>
        <w:tc>
          <w:tcPr>
            <w:tcW w:w="2560" w:type="dxa"/>
            <w:vAlign w:val="bottom"/>
          </w:tcPr>
          <w:p>
            <w:pPr>
              <w:jc w:val="right"/>
              <w:ind w:right="308"/>
              <w:spacing w:after="0"/>
              <w:rPr>
                <w:sz w:val="20"/>
                <w:szCs w:val="20"/>
                <w:color w:val="auto"/>
              </w:rPr>
            </w:pPr>
            <w:r>
              <w:rPr>
                <w:rFonts w:ascii="Arial" w:cs="Arial" w:eastAsia="Arial" w:hAnsi="Arial"/>
                <w:sz w:val="14"/>
                <w:szCs w:val="14"/>
                <w:color w:val="auto"/>
              </w:rPr>
              <w:t>17,834</w:t>
            </w:r>
          </w:p>
        </w:tc>
        <w:tc>
          <w:tcPr>
            <w:tcW w:w="1780" w:type="dxa"/>
            <w:vAlign w:val="bottom"/>
          </w:tcPr>
          <w:p>
            <w:pPr>
              <w:jc w:val="right"/>
              <w:ind w:right="508"/>
              <w:spacing w:after="0"/>
              <w:rPr>
                <w:sz w:val="20"/>
                <w:szCs w:val="20"/>
                <w:color w:val="auto"/>
              </w:rPr>
            </w:pPr>
            <w:r>
              <w:rPr>
                <w:rFonts w:ascii="Arial" w:cs="Arial" w:eastAsia="Arial" w:hAnsi="Arial"/>
                <w:sz w:val="14"/>
                <w:szCs w:val="14"/>
                <w:color w:val="auto"/>
              </w:rPr>
              <w:t>17,122</w:t>
            </w: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4 %</w:t>
            </w:r>
          </w:p>
        </w:tc>
        <w:tc>
          <w:tcPr>
            <w:tcW w:w="1400" w:type="dxa"/>
            <w:vAlign w:val="bottom"/>
          </w:tcPr>
          <w:p>
            <w:pPr>
              <w:jc w:val="right"/>
              <w:spacing w:after="0"/>
              <w:rPr>
                <w:sz w:val="20"/>
                <w:szCs w:val="20"/>
                <w:color w:val="auto"/>
              </w:rPr>
            </w:pPr>
            <w:r>
              <w:rPr>
                <w:rFonts w:ascii="Arial" w:cs="Arial" w:eastAsia="Arial" w:hAnsi="Arial"/>
                <w:sz w:val="14"/>
                <w:szCs w:val="14"/>
                <w:color w:val="auto"/>
              </w:rPr>
              <w:t>17,462</w:t>
            </w:r>
          </w:p>
        </w:tc>
      </w:tr>
      <w:tr>
        <w:trPr>
          <w:trHeight w:val="203"/>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Total Accounts - Year-to-date</w:t>
            </w:r>
          </w:p>
        </w:tc>
        <w:tc>
          <w:tcPr>
            <w:tcW w:w="25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17,834</w:t>
            </w:r>
          </w:p>
        </w:tc>
        <w:tc>
          <w:tcPr>
            <w:tcW w:w="17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17,122</w:t>
            </w:r>
          </w:p>
        </w:tc>
        <w:tc>
          <w:tcPr>
            <w:tcW w:w="1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17,220</w:t>
            </w:r>
          </w:p>
        </w:tc>
      </w:tr>
    </w:tbl>
    <w:p>
      <w:pPr>
        <w:spacing w:after="0" w:line="139"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11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number of our HSAs and CDBs are key metrics because our revenue is driven by the amount we earn from them. The number of our HSAs increased by 0.7 million, or 8%, from April 30, 2025 to April 30, 2026, driven by new HSAs from sales. The number of our CDBs decreased by 24 thousand, or less than 1%, from April 30, 2025 to April 30, 2026.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HSA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HSA Assets as of and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April 30, 2026</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2025</w:t>
            </w:r>
          </w:p>
        </w:tc>
        <w:tc>
          <w:tcPr>
            <w:tcW w:w="204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2026</w:t>
            </w:r>
          </w:p>
        </w:tc>
      </w:tr>
      <w:tr>
        <w:trPr>
          <w:trHeight w:val="197"/>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 cash</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17,066</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3 %  $</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17,982</w:t>
            </w:r>
          </w:p>
        </w:tc>
      </w:tr>
      <w:tr>
        <w:trPr>
          <w:trHeight w:val="198"/>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HSA investments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19,613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14,205</w:t>
            </w:r>
          </w:p>
        </w:tc>
        <w:tc>
          <w:tcPr>
            <w:tcW w:w="18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38 %</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18,482</w:t>
            </w:r>
          </w:p>
        </w:tc>
      </w:tr>
      <w:tr>
        <w:trPr>
          <w:trHeight w:val="200"/>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HSA Assets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31,271</w:t>
            </w: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19 %</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36,464</w:t>
            </w: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color w:val="auto"/>
              </w:rPr>
              <w:t>Average daily HSA cash - Quarter-to-date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17,706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17,281</w:t>
            </w: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2 %</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17,090</w:t>
            </w:r>
          </w:p>
        </w:tc>
      </w:tr>
      <w:tr>
        <w:trPr>
          <w:trHeight w:val="203"/>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daily HSA cash - Year-to-date</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17,706</w:t>
            </w: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17,281</w:t>
            </w:r>
          </w:p>
        </w:tc>
        <w:tc>
          <w:tcPr>
            <w:tcW w:w="1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2 %</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17,082</w:t>
            </w:r>
          </w:p>
        </w:tc>
      </w:tr>
    </w:tbl>
    <w:p>
      <w:pPr>
        <w:spacing w:after="0" w:line="170"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HSA Assets include our HSA members’ custodial assets, which consist of the following components: (i) HSA cash, which includes member cash held by our insurance company partners and Depository Partners, and (ii) HSA investments, which includes member investments held by our custodial investment partner. Measuring HSA Assets is important because our custodial revenue is directly affected by average daily custodial balances for HSA Assets that are revenue generating.</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HSA cash increased by $0.4 billion, or 3%, from April 30, 2025 to April 30, 2026, due to net HSA contributions from new and existing HSA members, partially offset by transfers to HSA investments.</w:t>
      </w:r>
    </w:p>
    <w:p>
      <w:pPr>
        <w:spacing w:after="0" w:line="4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HSA investments increased by $5.4 billion, or 38%, from April 30, 2025 to April 30, 2026, due to the increased market value of invested balances and transfers from HSA cash.</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Total HSA Assets increased by $5.8 billion, or 19%, from April 30, 2025 to April 30, 2026, primarily due to the increased market value of invested balances and net HSA contributions from new and existing HSA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HSA cash maturity schedule</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 summarizes the amount of HSA cash held by our insurance company partners and Depository Partners that is expected to reprice by fiscal year and the respective average annualized yield currently earned on that HSA cash as of April 30, 2026:</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Year ending January 31, (in billions, except percentages)</w:t>
            </w:r>
          </w:p>
        </w:tc>
        <w:tc>
          <w:tcPr>
            <w:tcW w:w="7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HSA cash expected to</w:t>
            </w:r>
          </w:p>
        </w:tc>
        <w:tc>
          <w:tcPr>
            <w:tcW w:w="21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Average annualized yield</w:t>
            </w:r>
          </w:p>
        </w:tc>
        <w:tc>
          <w:tcPr>
            <w:tcW w:w="0" w:type="dxa"/>
            <w:vAlign w:val="bottom"/>
          </w:tcPr>
          <w:p>
            <w:pPr>
              <w:spacing w:after="0"/>
              <w:rPr>
                <w:sz w:val="1"/>
                <w:szCs w:val="1"/>
                <w:color w:val="auto"/>
              </w:rPr>
            </w:pPr>
          </w:p>
        </w:tc>
      </w:tr>
      <w:tr>
        <w:trPr>
          <w:trHeight w:val="185"/>
        </w:trPr>
        <w:tc>
          <w:tcPr>
            <w:tcW w:w="43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reprice</w:t>
            </w:r>
          </w:p>
        </w:tc>
        <w:tc>
          <w:tcPr>
            <w:tcW w:w="2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2027</w:t>
            </w: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99"/>
        </w:trPr>
        <w:tc>
          <w:tcPr>
            <w:tcW w:w="4360" w:type="dxa"/>
            <w:vAlign w:val="bottom"/>
          </w:tcPr>
          <w:p>
            <w:pPr>
              <w:ind w:left="20"/>
              <w:spacing w:after="0"/>
              <w:rPr>
                <w:sz w:val="20"/>
                <w:szCs w:val="20"/>
                <w:color w:val="auto"/>
              </w:rPr>
            </w:pPr>
            <w:r>
              <w:rPr>
                <w:rFonts w:ascii="Arial" w:cs="Arial" w:eastAsia="Arial" w:hAnsi="Arial"/>
                <w:sz w:val="14"/>
                <w:szCs w:val="14"/>
                <w:color w:val="auto"/>
              </w:rPr>
              <w:t>2028</w:t>
            </w: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c>
          <w:tcPr>
            <w:tcW w:w="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99"/>
        </w:trPr>
        <w:tc>
          <w:tcPr>
            <w:tcW w:w="4360" w:type="dxa"/>
            <w:vAlign w:val="bottom"/>
          </w:tcPr>
          <w:p>
            <w:pPr>
              <w:ind w:left="20"/>
              <w:spacing w:after="0"/>
              <w:rPr>
                <w:sz w:val="20"/>
                <w:szCs w:val="20"/>
                <w:color w:val="auto"/>
              </w:rPr>
            </w:pPr>
            <w:r>
              <w:rPr>
                <w:rFonts w:ascii="Arial" w:cs="Arial" w:eastAsia="Arial" w:hAnsi="Arial"/>
                <w:sz w:val="14"/>
                <w:szCs w:val="14"/>
                <w:color w:val="auto"/>
              </w:rPr>
              <w:t>2030</w:t>
            </w: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8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(1)</w:t>
            </w: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9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273"/>
        </w:trPr>
        <w:tc>
          <w:tcPr>
            <w:tcW w:w="6340" w:type="dxa"/>
            <w:vAlign w:val="bottom"/>
            <w:gridSpan w:val="3"/>
          </w:tcPr>
          <w:p>
            <w:pPr>
              <w:spacing w:after="0"/>
              <w:rPr>
                <w:sz w:val="20"/>
                <w:szCs w:val="20"/>
                <w:color w:val="auto"/>
              </w:rPr>
            </w:pPr>
            <w:r>
              <w:rPr>
                <w:rFonts w:ascii="Arial" w:cs="Arial" w:eastAsia="Arial" w:hAnsi="Arial"/>
                <w:sz w:val="14"/>
                <w:szCs w:val="14"/>
                <w:color w:val="auto"/>
              </w:rPr>
              <w:t>(1) Excludes $1.0 billion of HSA cash held in floating-rate contracts as of April 30, 2026.</w:t>
            </w: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6"/>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Client-held funds</w:t>
            </w: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2026</w:t>
            </w: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April 30, 2025</w:t>
            </w:r>
          </w:p>
        </w:tc>
        <w:tc>
          <w:tcPr>
            <w:tcW w:w="172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2026</w:t>
            </w: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Client-held funds</w:t>
            </w: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1,013</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925</w:t>
            </w: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10 %  $</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198"/>
        </w:trPr>
        <w:tc>
          <w:tcPr>
            <w:tcW w:w="4360" w:type="dxa"/>
            <w:vAlign w:val="bottom"/>
          </w:tcPr>
          <w:p>
            <w:pPr>
              <w:ind w:left="20"/>
              <w:spacing w:after="0"/>
              <w:rPr>
                <w:sz w:val="20"/>
                <w:szCs w:val="20"/>
                <w:color w:val="auto"/>
              </w:rPr>
            </w:pPr>
            <w:r>
              <w:rPr>
                <w:rFonts w:ascii="Arial" w:cs="Arial" w:eastAsia="Arial" w:hAnsi="Arial"/>
                <w:sz w:val="14"/>
                <w:szCs w:val="14"/>
                <w:color w:val="auto"/>
              </w:rPr>
              <w:t>Average daily Client-held funds - Quarter-to-date</w:t>
            </w:r>
          </w:p>
        </w:tc>
        <w:tc>
          <w:tcPr>
            <w:tcW w:w="7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1,036</w:t>
            </w:r>
          </w:p>
        </w:tc>
        <w:tc>
          <w:tcPr>
            <w:tcW w:w="380" w:type="dxa"/>
            <w:vAlign w:val="bottom"/>
          </w:tcPr>
          <w:p>
            <w:pPr>
              <w:spacing w:after="0"/>
              <w:rPr>
                <w:sz w:val="17"/>
                <w:szCs w:val="17"/>
                <w:color w:val="auto"/>
              </w:rPr>
            </w:pPr>
          </w:p>
        </w:tc>
        <w:tc>
          <w:tcPr>
            <w:tcW w:w="1500" w:type="dxa"/>
            <w:vAlign w:val="bottom"/>
            <w:gridSpan w:val="2"/>
          </w:tcPr>
          <w:p>
            <w:pPr>
              <w:jc w:val="right"/>
              <w:ind w:right="328"/>
              <w:spacing w:after="0"/>
              <w:rPr>
                <w:sz w:val="20"/>
                <w:szCs w:val="20"/>
                <w:color w:val="auto"/>
              </w:rPr>
            </w:pPr>
            <w:r>
              <w:rPr>
                <w:rFonts w:ascii="Arial" w:cs="Arial" w:eastAsia="Arial" w:hAnsi="Arial"/>
                <w:sz w:val="14"/>
                <w:szCs w:val="14"/>
                <w:color w:val="auto"/>
              </w:rPr>
              <w:t>902</w:t>
            </w:r>
          </w:p>
        </w:tc>
        <w:tc>
          <w:tcPr>
            <w:tcW w:w="840" w:type="dxa"/>
            <w:vAlign w:val="bottom"/>
          </w:tcPr>
          <w:p>
            <w:pPr>
              <w:spacing w:after="0"/>
              <w:rPr>
                <w:sz w:val="17"/>
                <w:szCs w:val="17"/>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15 %</w:t>
            </w:r>
          </w:p>
        </w:tc>
        <w:tc>
          <w:tcPr>
            <w:tcW w:w="1300" w:type="dxa"/>
            <w:vAlign w:val="bottom"/>
          </w:tcPr>
          <w:p>
            <w:pPr>
              <w:jc w:val="right"/>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203"/>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daily Client-held funds - Year-to-date</w:t>
            </w: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1,036</w:t>
            </w:r>
          </w:p>
        </w:tc>
        <w:tc>
          <w:tcPr>
            <w:tcW w:w="3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902</w:t>
            </w:r>
          </w:p>
        </w:tc>
        <w:tc>
          <w:tcPr>
            <w:tcW w:w="8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15 %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Client-held funds are interest-earning deposits from which we generate custodial revenue. These deposits are amounts remitted by Clients and held by us on their behalf to pre-fund and facilitate administration of CDBs. We deposit the Client-held funds with our Depository Partners in interest-bearing, demand deposit accounts that have a floating interest rate and no set term or duration. Client-held funds fluctuate depending on the timing of funding and spending of CDB balances and the number of CDBs we administer.</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components of our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from three primary sources: service revenue, custodial revenue, and interchange revenue.</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We earn service revenue primarily from the fees we charge our Clients, Network Partners, and members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services we provide in connection with the HSAs and other CDBs we offer. Service revenue also includes revenues earned from invested HSA Assets and our marketplace. With respect to our Clients and Network Partners, our fees are generally based on a fixed tiered structure for the duration of the relevant service agreement and are paid to us on a monthly basis. In addition, once a member’s HSA cash balance reaches a certain threshold, the member is able to invest their HSA Assets through our investment partner from which we earn recordkeeping, advisory, and other fees, calculated as a percentage of the member's HSA investments. We recognize revenue on a monthly basis as services are rendered to our members and Clients.</w:t>
      </w:r>
    </w:p>
    <w:p>
      <w:pPr>
        <w:spacing w:after="0" w:line="7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We earn custodial revenue primarily from HSA cash held by our insurance company partners or our Depository</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and Client-held funds held by our Depository Partners. HSA cash held by our insurance company partners is held in group annuity contracts or similar arrangements. HSA cash is held by our Depository Partners pursuant to contracts that (i) typically have terms ranging from three to five years, (ii) provide for a fixed or variable interest rate payable on the average daily cash balances held by the relevant Depository Partner, and (iii) have minimum and maximum required balances. Client-held funds held by our Depository Partners are held in interest-bearing demand deposit accounts that have a floating interest rate and no set term or duration. We earn custodial revenue on HSA cash and Client-held funds that is based on the interest rates offered to us by these insurance company partners and Depository Partners.</w:t>
      </w:r>
    </w:p>
    <w:p>
      <w:pPr>
        <w:spacing w:after="0" w:line="7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We earn interchange revenue each time one of our members uses one of our physical payment cards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to make a purchase. This revenue is collected each time a member “swipes” our payment card to pay expenses. We recognize interchange revenue monthly based on reports received from third parties, namely, the card-issuing banks and card processors.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i w:val="1"/>
          <w:iCs w:val="1"/>
          <w:color w:val="auto"/>
        </w:rPr>
        <w:t xml:space="preserve">Service costs. </w:t>
      </w:r>
      <w:r>
        <w:rPr>
          <w:rFonts w:ascii="Arial" w:cs="Arial" w:eastAsia="Arial" w:hAnsi="Arial"/>
          <w:sz w:val="18"/>
          <w:szCs w:val="18"/>
          <w:color w:val="auto"/>
        </w:rPr>
        <w:t>Service costs are primarily comprised of costs related to servicing accounts, managing Client and Network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and processing reimbursement claims. Expenditures include personnel-related costs,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depreciation, amortization, stock-based compensation, common expense allocations (such as office rent, supplies, and other overhead expenses), costs to reimburse members from outside fraud activity, new member and participant supplies, and other operating costs related to servicing our members.</w:t>
      </w:r>
    </w:p>
    <w:p>
      <w:pPr>
        <w:spacing w:after="0" w:line="6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 xml:space="preserve">Custodial costs. </w:t>
      </w:r>
      <w:r>
        <w:rPr>
          <w:rFonts w:ascii="Arial" w:cs="Arial" w:eastAsia="Arial" w:hAnsi="Arial"/>
          <w:sz w:val="18"/>
          <w:szCs w:val="18"/>
          <w:color w:val="auto"/>
        </w:rPr>
        <w:t>Custodial costs are comprised of interest retained by our HSA members on HSA cash and fees we pay to banking</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whom we use to help secure agreements with our Depository Partners. Interest retained by HSA members is calculated on a tiered basis. The interest rates retained by HSA members can change based on a formula or upon required notice.</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Interchange costs. </w:t>
      </w:r>
      <w:r>
        <w:rPr>
          <w:rFonts w:ascii="Arial" w:cs="Arial" w:eastAsia="Arial" w:hAnsi="Arial"/>
          <w:sz w:val="18"/>
          <w:szCs w:val="18"/>
          <w:color w:val="auto"/>
        </w:rPr>
        <w:t>Interchange costs are comprised of costs we incur in connection with processing payment transactions initiated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Due to the substantiation requirement on FSA- and HRA-linked payment card transactions, payment card costs are higher for FSA and HRA transactions than for HSA transactions. In addition to fixed per card fees, we are assessed additional transaction costs determined by the amount of the transaction.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gross profit is our total revenue minus our total cost of revenue, and our gross margin is our gross profit expressed as a percentage of our total revenue. Our gross margin has been and will continue to be affected by a number of factors, including interest rates, the amount we charge our Clients, Network Partners, and members, the mix of our sources of revenue, how many services we deliver per account, and payment processing costs per account.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and related expenses for our sales and marketing staff,</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sales commissions for our direct sales force, external agent/broker commission expenses, marketing expenses, depreciation, amortization, stock-based compensation, and common expense allocations.</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Technology and development expenses include personnel and related expenses for software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licensed software, information technology, data management, product, and security. Technology and development expenses also include software engineering services, the costs of operating our technology infrastructure, depreciation, amortization of capitalized software development costs, stock-based compensation, and common expense allocations.</w:t>
      </w:r>
    </w:p>
    <w:p>
      <w:pPr>
        <w:spacing w:after="0" w:line="6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personnel and related expenses of, and professional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by our executive, finance, legal, internal audit, corporate development, compliance, and people departments. They also include depreciation, amortization, stock-based compensation, and common expense allocations.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Amortization of acquired intangible assets results primarily from intangible assets acquired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business combinations. The assets include acquired customer relationships, acquired developed technology, and acquired trade names and trademarks, which we amortize over the assets' estimated useful lives, estimated to be 7-15 years, 2-5 years, and 3 years, respectively. We also acquired intangible HSA portfolios from third-party custodians. We amortize these assets over the assets’ estimated useful life of 15 years. We evaluate our acquired intangible assets for impairment annually, or at a triggering event.</w:t>
      </w:r>
    </w:p>
    <w:p>
      <w:pPr>
        <w:spacing w:after="0" w:line="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Merger integration. </w:t>
      </w:r>
      <w:r>
        <w:rPr>
          <w:rFonts w:ascii="Arial" w:cs="Arial" w:eastAsia="Arial" w:hAnsi="Arial"/>
          <w:sz w:val="18"/>
          <w:szCs w:val="18"/>
          <w:color w:val="auto"/>
        </w:rPr>
        <w:t>Merger integration expenses include personnel and related expenses, including severance, professional fees, legal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settlements, and facilities and technology expenses directly related to integration activities to merge operations as a result of acquisitions.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Interest expense consists primarily of accrued interest expense and amortization of deferred financing costs associated with our long-term debt. Interest on our revolving credit facility changes frequently due to variable interest rate terms, and as a result, our interest expense is expected to fluctuate based on changes in prevailing interest rates.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consists of interest income earned on corporate cash and other miscellaneous income and expense.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subject to federal and state income taxes in the United States based on a January 31 fiscal year end. We use the asset and liability method to account for income taxes, under which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net operating loss carryforwards, and tax credit carryforwards. Deferred tax assets and liabilities are measured using enacted statutory tax rates expected to apply to taxable income in the years in which those temporary differences are expected to be realized or settled. Valuation allowances are established when necessary to reduce net deferred tax assets to the amount expected to be realized. As of April 30, 2026, we had not recorded a valuation allowance on federal deferred tax assets but recorded a valuation allowance on certain state deferred tax assets. We maintain an overall net federal and state deferred tax liability on our condensed consolidated 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the three months ended April 30, 2026 and 2025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0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7"/>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122,932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119,784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3,148</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color w:val="auto"/>
              </w:rPr>
              <w:t>Custodial revenue</w:t>
            </w: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174,334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156,455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17,879</w:t>
            </w:r>
          </w:p>
        </w:tc>
        <w:tc>
          <w:tcPr>
            <w:tcW w:w="1740" w:type="dxa"/>
            <w:vAlign w:val="bottom"/>
          </w:tcPr>
          <w:p>
            <w:pPr>
              <w:jc w:val="right"/>
              <w:spacing w:after="0"/>
              <w:rPr>
                <w:sz w:val="20"/>
                <w:szCs w:val="20"/>
                <w:color w:val="auto"/>
              </w:rPr>
            </w:pPr>
            <w:r>
              <w:rPr>
                <w:rFonts w:ascii="Arial" w:cs="Arial" w:eastAsia="Arial" w:hAnsi="Arial"/>
                <w:sz w:val="14"/>
                <w:szCs w:val="14"/>
                <w:color w:val="auto"/>
              </w:rPr>
              <w:t>11 %</w:t>
            </w:r>
          </w:p>
        </w:tc>
      </w:tr>
      <w:tr>
        <w:trPr>
          <w:trHeight w:val="207"/>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Interchange revenue</w:t>
            </w: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57,375</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54,605</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2,770</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92"/>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revenue</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354,641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330,844</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23,797</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r>
    </w:tbl>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The $3.1 million, or 3%, increase in service revenue from the three months ended April 30, 2025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2026 was primarily due to increases in marketplace revenue, the amount of HSA investments, and the number of Total Accounts, partially offset by lower average service fees per account.</w:t>
      </w:r>
    </w:p>
    <w:p>
      <w:pPr>
        <w:spacing w:after="0" w:line="63"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We expect service revenue to continue to increase, primarily due to increases in marketplace revenue, HSA investments, and Total Accounts, partially offset by lower average service fees per account.</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Custodial revenue. </w:t>
      </w:r>
      <w:r>
        <w:rPr>
          <w:rFonts w:ascii="Arial" w:cs="Arial" w:eastAsia="Arial" w:hAnsi="Arial"/>
          <w:sz w:val="18"/>
          <w:szCs w:val="18"/>
          <w:color w:val="auto"/>
        </w:rPr>
        <w:t>The $17.9 million, or 11%, increase in custodial revenue from the three months ended April 30, 2025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April 30, 2026 was primarily due to an increase in average annualized yield on HSA cash from 3.50% for the three months ended April 30, 2025 to 3.84% for the three months ended April 30, 2026 (due to increased participation in our Enhanced Rates offering, HSA cash placed with Depository Partners at higher yields, and a $ 2.4 million one-time benefit resulting from the early termination of a contract with a Depository Partner) and the $0.4 billion, or 2%, increase in average daily HSA cash, as described above, partially offset by a decrease in interest rates on the portion of our Client-held funds held by our Depository Partners in interest-bearing demand deposit accounts that have a floating interest rate.</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an annual basis, assuming the current interest rate environment continues, we expect our average annualized yield on HSA cash to further increase as our remaining existing agreements with our Depository Partners are renewed or replaced with agreements with higher rates, resulting in higher custodial revenue. In addition, we expect an increase in the percentage of HSA cash held in our Enhanced Rates offering to continue to positively impact our average annualized yield and thus our custodial revenue. As our Basic Rates contracts continue to expire, the HSA cash held in those Basic Rates contracts will transition to Enhanced Rates contracts, subject to our members retaining the right to keep their HSA cash in Basic Rates. Refer to the HSA cash maturity schedule in the section entitled “Key operating metrics.”</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Interchange revenue. </w:t>
      </w:r>
      <w:r>
        <w:rPr>
          <w:rFonts w:ascii="Arial" w:cs="Arial" w:eastAsia="Arial" w:hAnsi="Arial"/>
          <w:sz w:val="18"/>
          <w:szCs w:val="18"/>
          <w:color w:val="auto"/>
        </w:rPr>
        <w:t>The $2.8 million, or 5%, increase in interchange revenue from the three months ended April 30, 2025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April 30, 2026 was primarily due to an increase in Total Accounts and an increase in spend per account using our payment cards, partially offset by a lower average rate earned on payment card transactions.</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On an annual basis, relative to the fiscal year ended January 31, 2026, we expect interchange revenue to continue to increase, primarily due to an increase in Total Accounts, partially offset by a lower average rate earned on payment card transactions.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Total revenue increased $23.8 million, or 7%, from the three months ended April 30, 2025 to the three months ended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2026 due to the increases in custodial, service, and interchange revenues, described above.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cost of revenue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0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7"/>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costs</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78,326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88,005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(9,679)</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color w:val="auto"/>
              </w:rPr>
              <w:t>Custodial costs</w:t>
            </w: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11,655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10,747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908</w:t>
            </w:r>
          </w:p>
        </w:tc>
        <w:tc>
          <w:tcPr>
            <w:tcW w:w="1740" w:type="dxa"/>
            <w:vAlign w:val="bottom"/>
          </w:tcPr>
          <w:p>
            <w:pPr>
              <w:jc w:val="right"/>
              <w:spacing w:after="0"/>
              <w:rPr>
                <w:sz w:val="20"/>
                <w:szCs w:val="20"/>
                <w:color w:val="auto"/>
              </w:rPr>
            </w:pPr>
            <w:r>
              <w:rPr>
                <w:rFonts w:ascii="Arial" w:cs="Arial" w:eastAsia="Arial" w:hAnsi="Arial"/>
                <w:sz w:val="14"/>
                <w:szCs w:val="14"/>
                <w:color w:val="auto"/>
              </w:rPr>
              <w:t>8 %</w:t>
            </w:r>
          </w:p>
        </w:tc>
      </w:tr>
      <w:tr>
        <w:trPr>
          <w:trHeight w:val="207"/>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Interchange costs</w:t>
            </w:r>
          </w:p>
        </w:tc>
        <w:tc>
          <w:tcPr>
            <w:tcW w:w="5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8,348</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7,781</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92"/>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cost of revenue</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98,329</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106,533</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(8,204)</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bl>
    <w:p>
      <w:pPr>
        <w:spacing w:after="0" w:line="22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 xml:space="preserve">Service costs. </w:t>
      </w:r>
      <w:r>
        <w:rPr>
          <w:rFonts w:ascii="Arial" w:cs="Arial" w:eastAsia="Arial" w:hAnsi="Arial"/>
          <w:sz w:val="18"/>
          <w:szCs w:val="18"/>
          <w:color w:val="auto"/>
        </w:rPr>
        <w:t>The $9.7 million, or 11%, decrease in service costs from the three months ended April 30, 2025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2026 was primarily due to efficiencies resulting from our technology investments and decreases in costs incurred to reimburse members impacted by outside fraud activity, non-recurring consulting expenses, and self-insured medical claims expenses. These decreases were partially offset by increases in costs to support the increase in Total Accounts and member interactions.</w:t>
      </w:r>
    </w:p>
    <w:p>
      <w:pPr>
        <w:spacing w:after="0" w:line="68"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color w:val="auto"/>
        </w:rPr>
        <w:t>On an annual basis, relative to the fiscal year ended January 31, 2026, we expect service costs to decrease as further operational efficiencies are expected to largely offset higher costs resulting from an increase in Total Accounts.</w:t>
      </w:r>
    </w:p>
    <w:p>
      <w:pPr>
        <w:spacing w:after="0" w:line="10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i w:val="1"/>
          <w:iCs w:val="1"/>
          <w:color w:val="auto"/>
        </w:rPr>
        <w:t xml:space="preserve">Custodial costs. </w:t>
      </w:r>
      <w:r>
        <w:rPr>
          <w:rFonts w:ascii="Arial" w:cs="Arial" w:eastAsia="Arial" w:hAnsi="Arial"/>
          <w:sz w:val="18"/>
          <w:szCs w:val="18"/>
          <w:color w:val="auto"/>
        </w:rPr>
        <w:t>The $0.9 million, or 8%, increase in custodial costs from the three months ended April 30, 2025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2026 was primarily due to the $0.4 billion, or 2%, increase in average daily HSA cash, as described above, and an increase in the average annualized rate of interest retained by HSA members on HSA cash from 0.23% during the three months ended April 30, 2025 to 0.25% during the three months ended April 30, 2026.</w:t>
      </w:r>
    </w:p>
    <w:p>
      <w:pPr>
        <w:spacing w:after="0" w:line="6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On an annual basis, relative to the fiscal year ended January 31, 2026, we expect custodial costs to increase due to an increase in average daily HSA cash and an increase in the average annualized rate of interest retained by HSA members on HSA cash.</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Interchange costs. </w:t>
      </w:r>
      <w:r>
        <w:rPr>
          <w:rFonts w:ascii="Arial" w:cs="Arial" w:eastAsia="Arial" w:hAnsi="Arial"/>
          <w:sz w:val="18"/>
          <w:szCs w:val="18"/>
          <w:color w:val="auto"/>
        </w:rPr>
        <w:t>The $0.6 million, or 7%, increase in interchange costs from the three months ended April 30, 2025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April 30, 2026 was primarily due to an increase in Total Accounts, an increase in spend per account using our payment cards, and an increase in costs related to the prevention of outside fraud activity.</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expect interchange costs to continue to increase, primarily due to an increase in Total Accounts and an increase in costs related to the prevention of outside fraud activity.</w:t>
      </w:r>
    </w:p>
    <w:p>
      <w:pPr>
        <w:spacing w:after="0" w:line="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Total cost of revenue. </w:t>
      </w:r>
      <w:r>
        <w:rPr>
          <w:rFonts w:ascii="Arial" w:cs="Arial" w:eastAsia="Arial" w:hAnsi="Arial"/>
          <w:sz w:val="18"/>
          <w:szCs w:val="18"/>
          <w:color w:val="auto"/>
        </w:rPr>
        <w:t>Cost of revenue as a percentage of total revenue decreased to 27.7% for the three months ended April 30, 2026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32.2% for the three months ended April 30, 2025, due to the 7% increase in total revenue and the 8% decrease in total cost of revenue. On an annual basis, relative to the fiscal year ended January 31, 2026, we expect our cost of revenue to decrease as a percentage of our total revenue, primarily due to an increase in custodial revenue and a decrease in service costs, partially offset by costs resulting from an increase in Total Accounts. Cost of revenue will continue to be affected by a number of different factors, including our ability to efficiently scale our service delivery, Network Partner implementation, and account management functions.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operating expenses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0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7"/>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25,984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67,767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61,436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6,331</w:t>
            </w:r>
          </w:p>
        </w:tc>
        <w:tc>
          <w:tcPr>
            <w:tcW w:w="174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207"/>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31,131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25,536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5,595</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98"/>
        </w:trPr>
        <w:tc>
          <w:tcPr>
            <w:tcW w:w="4800" w:type="dxa"/>
            <w:vAlign w:val="bottom"/>
          </w:tcPr>
          <w:p>
            <w:pPr>
              <w:ind w:left="20"/>
              <w:spacing w:after="0"/>
              <w:rPr>
                <w:sz w:val="20"/>
                <w:szCs w:val="20"/>
                <w:color w:val="auto"/>
              </w:rPr>
            </w:pPr>
            <w:r>
              <w:rPr>
                <w:rFonts w:ascii="Arial" w:cs="Arial" w:eastAsia="Arial" w:hAnsi="Arial"/>
                <w:sz w:val="14"/>
                <w:szCs w:val="14"/>
                <w:color w:val="auto"/>
              </w:rPr>
              <w:t>Amortization of acquired intangible assets</w:t>
            </w: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26,515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27,002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(487)</w:t>
            </w:r>
          </w:p>
        </w:tc>
        <w:tc>
          <w:tcPr>
            <w:tcW w:w="17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6"/>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 integration</w:t>
            </w: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1,275</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2"/>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operating expenses</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153,359</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141,233</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12,126</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r>
    </w:tbl>
    <w:p>
      <w:pPr>
        <w:spacing w:after="0" w:line="184"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The $0.8 million, or 3%, increase in sales and marketing expenses from the three months ended April 30, 2025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April 30, 2026 was primarily due to increases in advertising expenses, largely offset by a decrease in personnel-related expenses.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our sales and marketing expenses to increase as we continue to focus on brand awareness and Client and member engagement programs, including campaigns to reach individuals who are newly eligible for HSAs under recent legislative expansion. On an annual basis, relative to the fiscal year ended January 31, 2026, we expect our sales and marketing expenses to remain relatively steady as a percentage of our total revenue. However, our sales and marketing expenses may fluctuate as a percentage of our total revenue from period to period due to the seasonality of our total revenue and the timing and extent of our sales and marketing expenses.</w:t>
      </w:r>
    </w:p>
    <w:p>
      <w:pPr>
        <w:spacing w:after="0" w:line="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The $6.3 million, or 10%, increase in technology and development expenses from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2025 to the three months ended April 30, 2026 was primarily due to an increase in software costs.</w:t>
      </w:r>
    </w:p>
    <w:p>
      <w:pPr>
        <w:spacing w:after="0" w:line="4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expect our technology and development expenses to increase as we continue to invest in the development and security of our proprietary technology, including our ongoing modernization project described earlier. On an annual basis, relative to the fiscal year ended January 31, 2026, we expect our technology and development expenses to remain relatively steady as a percentage of our total revenue. However, our technology and development expenses may fluctuate as a percentage of our total revenue from period to period due to the seasonality of our total revenue and the timing and extent of our technology and development expenses.</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The $5.6 million, or 22%, increase in general and administrative expenses from the three months ended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2025 to the three months ended April 30, 2026 was primarily due to an increase in stock-based compensation expense resulting from non-recurring award forfeitures during fiscal 2026 related to the retirement of our former chief executive officer, partially offset by a decrease in professional services expenses.</w:t>
      </w:r>
    </w:p>
    <w:p>
      <w:pPr>
        <w:spacing w:after="0" w:line="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an annual basis, relative to the fiscal year ended January 31, 2026, we expect our general and administrative expenses to increase, primarily due to the normalization of our stock-based compensation expense and additional demands on our legal, compliance, and finance functions as we continue to grow our business. We expect our general and administrative expenses to increase as a percentage of our total revenue. However, our general and administrative expenses may fluctuate as a percentage of our total revenue from period to period due to the seasonality of our total revenue and the timing and extent of our general and administrative expenses.</w:t>
      </w:r>
    </w:p>
    <w:p>
      <w:pPr>
        <w:spacing w:after="0" w:line="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The $0.5 million, or 2%, decrease in amortization of acquired intangible assets from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April 30, 2025 to the three months ended April 30, 2026 was primarily due to a smaller carrying amount of intangible assets that have not been fully amortized.</w:t>
      </w:r>
    </w:p>
    <w:p>
      <w:pPr>
        <w:spacing w:after="0" w:line="6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On an annual basis, relative to the fiscal year ended January 31, 2026, we expect amortization of acquired intangible assets to decrease, primarily due to a smaller carrying amount of intangible assets that have not been fully amortized.</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Merger integration. </w:t>
      </w:r>
      <w:r>
        <w:rPr>
          <w:rFonts w:ascii="Arial" w:cs="Arial" w:eastAsia="Arial" w:hAnsi="Arial"/>
          <w:sz w:val="18"/>
          <w:szCs w:val="18"/>
          <w:color w:val="auto"/>
        </w:rPr>
        <w:t>Merger integration expenses decreased by $0.2 million, or 13%, from the three months ended April 30, 2025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April 30, 2026. Merger integration expenses during the three months ended April 30, 2026 consisted primarily of expenses incurred in conjunction with the migration of accounts and technology-related expenses directly related to the Further acquisition.</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On an annual basis, relative to the fiscal year ended January 31, 2026, we expect merger integration expense to remain relatively steady as we complete the remaining merger integration activities.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$2.3 million, or 15%, decrease in interest expense from the three months ended April 30, 2025 to the three months ended April 30, 2026 was primarily due to a lower average principal balance and a lower average interest rate on borrowings with variable interest rate terms.</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interest rate on our revolving credit facility is variable and, accordingly, we may incur additional expense if interest rates increase in future periods.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$0.7 million decrease in other income, net, from the three months ended April 30, 2025 to the three months ended April 30, 2026 was primarily due to a decrease in interest income on corporate cash.</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$6.0 million increase in income tax provision from the three months ended April 30, 2025 to the three months ended April 30, 2026 was primarily the result of an increase in pre-tax book income and a reduction in tax benefit from stock-based compensation expense.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$15.5 million, or 29%, increase in net income from the three months ended April 30, 2025 to the three months ended April 30, 2026 was primarily due to an increase in gross profit, partially offset by increases in operating expenses and income tax provision, as more fully described above.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Seasonal concentration of our growth combined with our recurring revenue model create seasonal variation in our results of operations. Revenue results are seasonally impacted due to ancillary service fees, timing of HSA contributions, and timing of card spend. Cost of revenue is seasonally impacted as a significant number of new and existing Network Partners bring us new HSAs and CDBs beginning in January of each year concurrent with the start of many employers’ benefit plan years. Before we realize any revenue from these new accounts, we incur costs related to implementing and supporting our new Network Partners and new accounts. These costs of services relate to activating accounts and hiring additional staff, including seasonal help to support our member support center. These expenses begin to ramp up during our third fiscal quarter, with the majority of seasonal expenses incurred in our fourth fiscal quarter.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1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Non-GAAP financial measures should be considered in addition to results prepared in accordance with GAAP and should not be considered as a substitute for, or superior to, GAAP results. We believe that these non-GAAP financial measures provide useful information to management and investors regarding certain financial and business trends relating to the Company's financial condition and results of operations. We caution investors that non-GAAP financial information, by its nature, departs from GAAP; accordingly, its use can make it difficult to compare current results with results from other reporting periods and with the results of other companies. In addition, while amortization of acquired intangible assets is being excluded from non-GAAP financial measures, the revenue generated from those acquired intangible assets is not excluded. Whenever we use these non-GAAP financial measures, we provide a reconciliation of the applicable non-GAAP financial measure to the most closely applicable GAAP financial measure. Investors are encouraged to review the related GAAP financial measures and the reconciliation of the non-GAAP financial measures to their most directly comparable GAAP financial measure as detailed in the tables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define Adjusted EBITDA, which is a non-GAAP financial metric, as 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 We believe that Adjusted EBITDA provides useful information to investors and analysts in understanding and evaluating our operating results in the same manner as our management and our board of directors because it reflects operating profitability before consideration of non-operating expenses and non-cash expenses and serves as a basis for comparison against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presents a reconciliation of net income, the most comparable GAAP financial measure, to Adjusted EBITDA for the periods indicated:</w:t>
      </w:r>
    </w:p>
    <w:tbl>
      <w:tblPr>
        <w:tblLayout w:type="fixed"/>
        <w:tblInd w:w="0" w:type="dxa"/>
        <w:tblCellMar>
          <w:top w:w="0" w:type="dxa"/>
          <w:left w:w="0" w:type="dxa"/>
          <w:bottom w:w="0" w:type="dxa"/>
          <w:right w:w="0" w:type="dxa"/>
        </w:tblCellMar>
      </w:tblPr>
      <w:tr>
        <w:trPr>
          <w:trHeight w:val="194"/>
        </w:trPr>
        <w:tc>
          <w:tcPr>
            <w:tcW w:w="7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69,418</w:t>
            </w:r>
          </w:p>
        </w:tc>
        <w:tc>
          <w:tcPr>
            <w:tcW w:w="84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53,915</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7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(1,887)</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(2,733)</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12,588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14,858</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Income tax provision</w:t>
            </w:r>
          </w:p>
        </w:tc>
        <w:tc>
          <w:tcPr>
            <w:tcW w:w="74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22,995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17,038</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11,699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11,739</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74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26,515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27,002</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19,406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14,336</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Merger integration expenses</w:t>
            </w:r>
          </w:p>
        </w:tc>
        <w:tc>
          <w:tcPr>
            <w:tcW w:w="74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1,113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1,275</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incremental costs to obtain a contract</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Costs associated with unused office space</w:t>
            </w:r>
          </w:p>
        </w:tc>
        <w:tc>
          <w:tcPr>
            <w:tcW w:w="74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686</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852</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7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Adjusted EBITDA</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164,488</w:t>
            </w:r>
          </w:p>
        </w:tc>
        <w:tc>
          <w:tcPr>
            <w:tcW w:w="84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140,208</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income and Adjusted EBITDA as a percentage of revenue: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 April 30,</w:t>
            </w:r>
          </w:p>
        </w:tc>
        <w:tc>
          <w:tcPr>
            <w:tcW w:w="5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03"/>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7"/>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69,418</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53,915</w:t>
            </w:r>
          </w:p>
        </w:tc>
        <w:tc>
          <w:tcPr>
            <w:tcW w:w="5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15,503</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r>
      <w:tr>
        <w:trPr>
          <w:trHeight w:val="198"/>
        </w:trPr>
        <w:tc>
          <w:tcPr>
            <w:tcW w:w="3560" w:type="dxa"/>
            <w:vAlign w:val="bottom"/>
          </w:tcPr>
          <w:p>
            <w:pPr>
              <w:ind w:left="140"/>
              <w:spacing w:after="0"/>
              <w:rPr>
                <w:sz w:val="20"/>
                <w:szCs w:val="20"/>
                <w:color w:val="auto"/>
              </w:rPr>
            </w:pPr>
            <w:r>
              <w:rPr>
                <w:rFonts w:ascii="Arial" w:cs="Arial" w:eastAsia="Arial" w:hAnsi="Arial"/>
                <w:sz w:val="14"/>
                <w:szCs w:val="14"/>
                <w:color w:val="auto"/>
              </w:rPr>
              <w:t>As a percentage of revenue</w:t>
            </w:r>
          </w:p>
        </w:tc>
        <w:tc>
          <w:tcPr>
            <w:tcW w:w="1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20 %</w:t>
            </w:r>
          </w:p>
        </w:tc>
        <w:tc>
          <w:tcPr>
            <w:tcW w:w="5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16 %</w:t>
            </w: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164,488</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140,208</w:t>
            </w:r>
          </w:p>
        </w:tc>
        <w:tc>
          <w:tcPr>
            <w:tcW w:w="5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24,280</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198"/>
        </w:trPr>
        <w:tc>
          <w:tcPr>
            <w:tcW w:w="3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As a percentage of revenue</w:t>
            </w:r>
          </w:p>
        </w:tc>
        <w:tc>
          <w:tcPr>
            <w:tcW w:w="1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42 %</w:t>
            </w:r>
          </w:p>
        </w:tc>
        <w:tc>
          <w:tcPr>
            <w:tcW w:w="5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bl>
    <w:p>
      <w:pPr>
        <w:spacing w:after="0" w:line="17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Adjusted EBITDA increased by $24.3 million, or 17%, from the three months ended April 30, 2025 to the three months ended April 30, 2026, primarily due to an increase in total revenue and lower service costs due to efficiencies resulting from our technology investments, partially offset by increases in software costs.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Non-GAAP net income is calculated by adding back to GAAP net income before income taxes the following items: amortization of acquired intangible assets, stock-based compensation expense, merger integration expenses, acquisition costs, gains and losses on equity securities, costs associated with unused office space, and losses on extinguishment of debt, and subtracting a non-GAAP tax provision using a normalized non-GAAP tax rate. We believe that non-GAAP net income and non-GAAP net income per diluted share provide useful information to investors and analysts in understanding and evaluating our operating results in the same manner as our management and our board of directors because these non-GAAP metrics reflect operating profitability before consideration of certain non-operating expenses and non-cash expenses and serve as a basis for comparison against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following table presents a reconciliation of net income, the most comparable GAAP financial measure, to non-GAAP net income for the periods indicated: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69,418</w:t>
            </w:r>
          </w:p>
        </w:tc>
        <w:tc>
          <w:tcPr>
            <w:tcW w:w="84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53,915</w:t>
            </w:r>
          </w:p>
        </w:tc>
      </w:tr>
      <w:tr>
        <w:trPr>
          <w:trHeight w:val="198"/>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w:t>
            </w: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22,995</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17,038</w:t>
            </w:r>
          </w:p>
        </w:tc>
      </w:tr>
      <w:tr>
        <w:trPr>
          <w:trHeight w:val="200"/>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 - GAAP</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92,413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70,953</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Non-GAAP adjustments:</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26,515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27,002</w:t>
            </w:r>
          </w:p>
        </w:tc>
      </w:tr>
      <w:tr>
        <w:trPr>
          <w:trHeight w:val="198"/>
        </w:trPr>
        <w:tc>
          <w:tcPr>
            <w:tcW w:w="720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74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19,406</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14,336</w:t>
            </w:r>
          </w:p>
        </w:tc>
      </w:tr>
      <w:tr>
        <w:trPr>
          <w:trHeight w:val="20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Merger integration expenses</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r>
      <w:tr>
        <w:trPr>
          <w:trHeight w:val="198"/>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Costs associated with unused office space</w:t>
            </w: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686</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w:t>
            </w:r>
          </w:p>
        </w:tc>
      </w:tr>
      <w:tr>
        <w:trPr>
          <w:trHeight w:val="200"/>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adjustments to income before income taxes - GAAP</w:t>
            </w:r>
          </w:p>
        </w:tc>
        <w:tc>
          <w:tcPr>
            <w:tcW w:w="7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47,720</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43,465</w:t>
            </w:r>
          </w:p>
        </w:tc>
      </w:tr>
      <w:tr>
        <w:trPr>
          <w:trHeight w:val="192"/>
        </w:trPr>
        <w:tc>
          <w:tcPr>
            <w:tcW w:w="7200" w:type="dxa"/>
            <w:vAlign w:val="bottom"/>
          </w:tcPr>
          <w:p>
            <w:pPr>
              <w:ind w:left="20"/>
              <w:spacing w:after="0"/>
              <w:rPr>
                <w:sz w:val="20"/>
                <w:szCs w:val="20"/>
                <w:color w:val="auto"/>
              </w:rPr>
            </w:pPr>
            <w:r>
              <w:rPr>
                <w:rFonts w:ascii="Arial" w:cs="Arial" w:eastAsia="Arial" w:hAnsi="Arial"/>
                <w:sz w:val="14"/>
                <w:szCs w:val="14"/>
                <w:color w:val="auto"/>
              </w:rPr>
              <w:t>Income before income taxes - Non-GAAP</w:t>
            </w:r>
          </w:p>
        </w:tc>
        <w:tc>
          <w:tcPr>
            <w:tcW w:w="74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140,133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114,418</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 - Non-GAAP (1)</w:t>
            </w:r>
          </w:p>
        </w:tc>
        <w:tc>
          <w:tcPr>
            <w:tcW w:w="7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35,034</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28,604</w:t>
            </w:r>
          </w:p>
        </w:tc>
      </w:tr>
      <w:tr>
        <w:trPr>
          <w:trHeight w:val="192"/>
        </w:trPr>
        <w:tc>
          <w:tcPr>
            <w:tcW w:w="7200" w:type="dxa"/>
            <w:vAlign w:val="bottom"/>
          </w:tcPr>
          <w:p>
            <w:pPr>
              <w:ind w:left="20"/>
              <w:spacing w:after="0"/>
              <w:rPr>
                <w:sz w:val="20"/>
                <w:szCs w:val="20"/>
                <w:color w:val="auto"/>
              </w:rPr>
            </w:pPr>
            <w:r>
              <w:rPr>
                <w:rFonts w:ascii="Arial" w:cs="Arial" w:eastAsia="Arial" w:hAnsi="Arial"/>
                <w:sz w:val="14"/>
                <w:szCs w:val="14"/>
                <w:color w:val="auto"/>
              </w:rPr>
              <w:t>Non-GAAP net income</w:t>
            </w:r>
          </w:p>
        </w:tc>
        <w:tc>
          <w:tcPr>
            <w:tcW w:w="74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105,099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85,814</w:t>
            </w:r>
          </w:p>
        </w:tc>
      </w:tr>
      <w:tr>
        <w:trPr>
          <w:trHeight w:val="274"/>
        </w:trPr>
        <w:tc>
          <w:tcPr>
            <w:tcW w:w="7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Diluted weighted-average shares</w:t>
            </w:r>
          </w:p>
        </w:tc>
        <w:tc>
          <w:tcPr>
            <w:tcW w:w="74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85,006</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88,415</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net income per diluted share</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0.82</w:t>
            </w:r>
          </w:p>
        </w:tc>
        <w:tc>
          <w:tcPr>
            <w:tcW w:w="84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r>
      <w:tr>
        <w:trPr>
          <w:trHeight w:val="198"/>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Non-GAAP net income per diluted share</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w:t>
            </w:r>
          </w:p>
        </w:tc>
        <w:tc>
          <w:tcPr>
            <w:tcW w:w="84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r>
    </w:tbl>
    <w:p>
      <w:pPr>
        <w:spacing w:after="0" w:line="139" w:lineRule="exact"/>
        <w:rPr>
          <w:sz w:val="20"/>
          <w:szCs w:val="20"/>
          <w:color w:val="auto"/>
        </w:rPr>
      </w:pPr>
    </w:p>
    <w:p>
      <w:pPr>
        <w:ind w:left="260" w:right="20" w:hanging="252"/>
        <w:spacing w:after="0" w:line="267" w:lineRule="auto"/>
        <w:tabs>
          <w:tab w:leader="none" w:pos="247"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utilizes a normalized non-GAAP tax rate to provide better consistency across the interim reporting periods within a given fiscal year by eliminating the effects of non-recurring and period-specific items, which can vary in size and frequency, and which are not necessarily reflective of the Company’s longer-term operations. The normalized non-GAAP tax rate applied to each period presented was 25%. The Company may adjust its non-GAAP tax rate as additional information becomes available and in conjunction with any other significant events occurring that may materially affect this rate, such as merger and acquisition activity, changes in business outlook, or other changes in expectations regarding tax regulations.</w:t>
      </w:r>
    </w:p>
    <w:p>
      <w:pPr>
        <w:spacing w:after="0" w:line="6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Our non-GAAP net income increased by $19.3 million, or 22%, from the three months ended April 30, 2025 to the three months ended April 30, 2026, primarily due to an increase in total revenue and lower service costs due to efficiencies resulting from our technology investments, partially offset by increases in software costs.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overview</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principal sources of liquidity are our current cash and cash equivalents balances, collections from our custodial, service, and interchange revenue activities, and availability under our revolving credit facility. We rely on cash provided by operating activities to meet our short-term liquidity requirements, which primarily relate to the payment of corporate payroll and other operating costs, interest payments on our long-term debt, and capital expenditures.</w:t>
      </w:r>
    </w:p>
    <w:p>
      <w:pPr>
        <w:spacing w:after="0" w:line="68" w:lineRule="exact"/>
        <w:rPr>
          <w:sz w:val="20"/>
          <w:szCs w:val="20"/>
          <w:color w:val="auto"/>
        </w:rPr>
      </w:pPr>
    </w:p>
    <w:p>
      <w:pPr>
        <w:ind w:right="1460"/>
        <w:spacing w:after="0" w:line="375" w:lineRule="auto"/>
        <w:rPr>
          <w:sz w:val="20"/>
          <w:szCs w:val="20"/>
          <w:color w:val="auto"/>
        </w:rPr>
      </w:pPr>
      <w:r>
        <w:rPr>
          <w:rFonts w:ascii="Arial" w:cs="Arial" w:eastAsia="Arial" w:hAnsi="Arial"/>
          <w:sz w:val="18"/>
          <w:szCs w:val="18"/>
          <w:color w:val="auto"/>
        </w:rPr>
        <w:t xml:space="preserve">As of April 30, 2026 and January 31, 2026, cash and cash equivalents were $265.4 million and $318.9 million, respectively. </w:t>
      </w:r>
      <w:r>
        <w:rPr>
          <w:rFonts w:ascii="Arial" w:cs="Arial" w:eastAsia="Arial" w:hAnsi="Arial"/>
          <w:sz w:val="18"/>
          <w:szCs w:val="18"/>
          <w:b w:val="1"/>
          <w:bCs w:val="1"/>
          <w:i w:val="1"/>
          <w:iCs w:val="1"/>
          <w:color w:val="auto"/>
        </w:rPr>
        <w:t>Capital resources</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maintain a “shelf” registration statement on Form S-3 on file with the SEC. A shelf registration statement, which includes a base prospectus, allows us at any time to offer any combination of securities described in the prospectus in one or more offerings. Unless otherwise specified in a prospectus supplement accompanying the base prospectus, we would use the net proceeds from the sale of any securities offered pursuant to the shelf registration statement for general corporate purposes, including, but not limited to, working capital, sales and marketing activities, general and administrative matters, capital expenditures, and repayment of indebtedness, and if opportunities arise, for the acquisition of, or investment in, assets, technologies, solutions or businesses that complement our business. Pending such uses, we may invest the net proceeds in interest-bearing securities. In addition, we may conduct concurrent or other financings at any time.</w:t>
      </w:r>
    </w:p>
    <w:p>
      <w:pPr>
        <w:spacing w:after="0" w:line="7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Our credit agreement includes a senior secured revolving credit facility in an aggregate principal amount of up to $1.0 billion, which matures on August 23, 2029 and may be used in the future for working capital and general corporate purposes, including the financing of acquisitions and other investments. For a description of the terms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refer to Note 6—Indebtedness. As of April 30, 2026, the outstanding balance under the revolving credit facility was</w:t>
      </w:r>
    </w:p>
    <w:p>
      <w:pPr>
        <w:spacing w:after="0" w:line="27"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$346.9 million. We were in compliance with all covenants under the credit agreement as of April 30, 2026, and for the period then ended. We continue to be in compliance with all covenants under the credit agreement through the filing date of this Quarterly Report on Form 10-Q.</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cash</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During the three months ended April 30, 2026, we used $123.3 million of cash for common stock repurchases. See Note 9—Stockholders' equity for additional information related to our stock repurchase program.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April 30, 2026, we prepaid $15.0 million under our credit agreement.</w:t>
      </w:r>
    </w:p>
    <w:p>
      <w:pPr>
        <w:spacing w:after="0" w:line="11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Capital expenditures for the three months ended April 30, 2026 and 2025 were $16.3 million and $16.1 million, respectively. We expect to continue our current level of capital expenditures for the remainder of the fiscal year ending January 31, 2027 as we continue to invest in improving the architecture and functionality of our proprietary systems. Capital expenditures to improve the architecture of our proprietary systems include computer hardware, personnel and related costs for software engineering, and outsourced software engineering services.</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our existing cash, cash equivalents, and revolving credit facility will be sufficient to meet our operating and capital expenditure requirements for at least the next 12 months. To the extent these current and anticipated future sources of liquidity are insufficient to fund our future business activities and requirements, we may need to raise additional funds through public or private equity or debt financing. In the event that additional financing is required, we may not be able to raise it on favorable terms, if at all.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cash flows from operating activities, investing activities, and financing activities for the stated periods: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r>
      <w:tr>
        <w:trPr>
          <w:trHeight w:val="19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97,526</w:t>
            </w:r>
          </w:p>
        </w:tc>
        <w:tc>
          <w:tcPr>
            <w:tcW w:w="8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64,738</w:t>
            </w:r>
          </w:p>
        </w:tc>
      </w:tr>
      <w:tr>
        <w:trPr>
          <w:trHeight w:val="198"/>
        </w:trPr>
        <w:tc>
          <w:tcPr>
            <w:tcW w:w="72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(13,904)</w:t>
            </w:r>
          </w:p>
        </w:tc>
        <w:tc>
          <w:tcPr>
            <w:tcW w:w="8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(16,143)</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7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(137,180)</w:t>
            </w:r>
          </w:p>
        </w:tc>
        <w:tc>
          <w:tcPr>
            <w:tcW w:w="8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(56,649)</w:t>
            </w:r>
          </w:p>
        </w:tc>
      </w:tr>
      <w:tr>
        <w:trPr>
          <w:trHeight w:val="192"/>
        </w:trPr>
        <w:tc>
          <w:tcPr>
            <w:tcW w:w="7200" w:type="dxa"/>
            <w:vAlign w:val="bottom"/>
          </w:tcPr>
          <w:p>
            <w:pPr>
              <w:ind w:left="20"/>
              <w:spacing w:after="0"/>
              <w:rPr>
                <w:sz w:val="20"/>
                <w:szCs w:val="20"/>
                <w:color w:val="auto"/>
              </w:rPr>
            </w:pPr>
            <w:r>
              <w:rPr>
                <w:rFonts w:ascii="Arial" w:cs="Arial" w:eastAsia="Arial" w:hAnsi="Arial"/>
                <w:sz w:val="14"/>
                <w:szCs w:val="14"/>
                <w:color w:val="auto"/>
              </w:rPr>
              <w:t>Decrease in cash and cash equivalents</w:t>
            </w: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(53,558)</w:t>
            </w:r>
          </w:p>
        </w:tc>
        <w:tc>
          <w:tcPr>
            <w:tcW w:w="8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(8,054)</w:t>
            </w:r>
          </w:p>
        </w:tc>
      </w:tr>
      <w:tr>
        <w:trPr>
          <w:trHeight w:val="207"/>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cash and cash equivalents</w:t>
            </w:r>
          </w:p>
        </w:tc>
        <w:tc>
          <w:tcPr>
            <w:tcW w:w="7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318,927</w:t>
            </w:r>
          </w:p>
        </w:tc>
        <w:tc>
          <w:tcPr>
            <w:tcW w:w="8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295,948</w:t>
            </w:r>
          </w:p>
        </w:tc>
      </w:tr>
      <w:tr>
        <w:trPr>
          <w:trHeight w:val="192"/>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cash and cash equivalents</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265,369</w:t>
            </w:r>
          </w:p>
        </w:tc>
        <w:tc>
          <w:tcPr>
            <w:tcW w:w="8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287,894</w:t>
            </w:r>
          </w:p>
        </w:tc>
      </w:tr>
    </w:tbl>
    <w:p>
      <w:pPr>
        <w:spacing w:after="0" w:line="18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Cash flows from operating activities. </w:t>
      </w:r>
      <w:r>
        <w:rPr>
          <w:rFonts w:ascii="Arial" w:cs="Arial" w:eastAsia="Arial" w:hAnsi="Arial"/>
          <w:sz w:val="18"/>
          <w:szCs w:val="18"/>
          <w:color w:val="auto"/>
        </w:rPr>
        <w:t>Net cash provided by operating activities increased by $32.8 million from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30, 2025 to the three months ended April 30, 2026, primarily due to increased cash receipts with respect to our custodial, service, and interchange revenues and a decrease in cash payments for service costs.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 xml:space="preserve">Cash flows from investing activities. </w:t>
      </w:r>
      <w:r>
        <w:rPr>
          <w:rFonts w:ascii="Arial" w:cs="Arial" w:eastAsia="Arial" w:hAnsi="Arial"/>
          <w:sz w:val="18"/>
          <w:szCs w:val="18"/>
          <w:color w:val="auto"/>
        </w:rPr>
        <w:t>Net cash used in investing activities decreased by $2.2 million from the three months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to the three months ended April 30, 2026, primarily due to net cash received from the settlement of derivatives.</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Net cash used in financing activities increased by $80.5 million from the three months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to the three months ended April 30, 2026, primarily due to a $64.2 million increase in cash used for repurchases of common stock and a $15.0 million increase in principal payments on our long-term debt.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Note 5—Commitments and contingencies for information about our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0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As of April 30, 2026, we did not have any off-balance sheet arrangements that have, or are reasonably likely to have, a current or future material effect on our consolidated financial condition, results of operations, liquidity, capital expenditures, or capital resources.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management estimates</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unaudited condensed consolidated financial statements requires us to make estimates and judgments that affect the reported amounts of assets, liabilities, revenues, and expenses.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and we evaluate our critical accounting estimates on an ongoing basis. Actual results may differ from these estimates under different assumptions and conditions.</w:t>
      </w:r>
    </w:p>
    <w:p>
      <w:pPr>
        <w:spacing w:after="0" w:line="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significant accounting policies are more fully described in Note 1 of the accompanying unaudited condensed consolidated financial statements and in Note 1 to our audited consolidated financial statements contained in our Annual Report on Form 10-K for the fiscal year ended January 31, 2026. There have been no significant or material changes in our critical accounting policies during the three months ended April 30, 2026, as compared to those disclosed in “Management’s discussion and analysis of financial condition and results of operations – Critical accounting policies and significant management estimates” in our Annual Report on Form 10-K for the fiscal year ended January 31, 2026.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See Note 1—Summary of business and significant accounting policies within the interim financial statements included in this Form 10-Q for further discussion.</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Concentration of market risk. </w:t>
      </w:r>
      <w:r>
        <w:rPr>
          <w:rFonts w:ascii="Arial" w:cs="Arial" w:eastAsia="Arial" w:hAnsi="Arial"/>
          <w:sz w:val="18"/>
          <w:szCs w:val="18"/>
          <w:color w:val="auto"/>
        </w:rPr>
        <w:t>We derive a substantial portion of our revenue from providing services to tax-advantaged healthcare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A significant downturn in this market or changes in state and/or federal laws impacting the preferential tax treatment of healthcare accounts such as HSAs could have a material adverse effect on our results of operations. During the three months ended April 30, 2026 and 2025, no single customer accounted for greater than 10% of our total revenue. We monitor market and regulatory changes regularly and make adjustments to our business if necessary.</w:t>
      </w:r>
    </w:p>
    <w:p>
      <w:pPr>
        <w:spacing w:after="0" w:line="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Inflationary factors may adversely affect our operating results. Although we do not believe that inflation has had a material impact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financial position or results of operations to date, a high rate of inflation in the future may have an adverse effect on our ability to maintain current levels of expenses as a percentage of revenue if our revenue does not correspondingly increase with inflation.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Financial instruments, which potentially subject us to concentrations of credit risk, consist primarily of cash and cash equivalents, accounts receivable, and derivatives. We maintain our cash and cash equivalents in bank and other depository accounts, which frequently exceed federally insured limits. Our cash and cash equivalents as of April 30, 2026 and January 31, 2026 were $265.4 million and $318.9 million, respectively, the vast majority of which was not covered by federal depository insurance. We have not experienced any material losses in such accounts. Our accounts receivable balance as of April 30, 2026 and January 31, 2026 was $122.0 million and $123.7 million, respectively. We have not experienced any significant write-offs to our accounts receivable and believe that we are not exposed to significant credit risk with respect to our accounts receivable. Our derivative contracts are executed with a reputable financial institution, and we do not believe our derivative contracts expose us to significant credit risk. We continue to monitor the credit risk associated with our financial instruments on an ongoing basis.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HSA Assets and Client-held funds. </w:t>
      </w:r>
      <w:r>
        <w:rPr>
          <w:rFonts w:ascii="Arial" w:cs="Arial" w:eastAsia="Arial" w:hAnsi="Arial"/>
          <w:sz w:val="18"/>
          <w:szCs w:val="18"/>
          <w:color w:val="auto"/>
        </w:rPr>
        <w:t>HSA Assets consist of custodial HSA funds we hold in custody on behalf of our members. As of</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April 30, 2026 and January 31, 2026, we held in custody HSA Assets of $37.1 billion and $36.5 billion, respectively. As a non-bank custodian, we contract with our insurance company partners and Depository Partners to hold HSA cash on behalf of our members, and we earn a significant portion of our total revenue from interest paid to us by these partners. HSA cash held by our insurance company partners is held in group annuity contracts or similar arrangements. The lengths of our agreements with Depository Partners typically range from three to five years and have either fixed or variable interest rates.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HSA Assets increase and existing contracts with Depository Partners continue to expire, we seek to enter into new contracts with insurance company partners and Depository Partners, the terms of which are impacted by the then-prevailing interest rate environment. We believe that increased participation in our Enhanced Rates offering, diversification of insurance company partners and Depository Partners, and varied contract terms, substantially reduces our exposure to short-term fluctuations in prevailing interest rates and mitigates the short-term impact of a sustained increase or decline in prevailing interest rates on our custodial revenue.</w:t>
      </w:r>
    </w:p>
    <w:p>
      <w:pPr>
        <w:spacing w:after="0" w:line="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 sustained decline in prevailing interest rates may negatively affect our business by reducing the size of the interest rate yield, or yield, available to us and thus the amount of custodial revenue we can realize. Conversely, a sustained increase in prevailing interest rates can increase our yield. An increase in our yield would increase our custodial revenue as a percentage of total revenue. In addition, if our yield increases, we expect the spread to also increase between the interest offered to us by our insurance company partners and Depository Partners and the interest retained by our members, thus increasing our profitability. However, we may be required to increase the interest retained by our members in a rising prevailing interest rate environment. Changes in prevailing interest rates are driven by macroeconomic trends and government policies over which we have no control.</w:t>
      </w:r>
    </w:p>
    <w:p>
      <w:pPr>
        <w:spacing w:after="0" w:line="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entered into derivative contracts to hedge a portion of the benchmark interest rate risk of expected future placements of HSA cash; however, we continue to have exposure to such risks to the extent they are not hedged. See Note 10—Derivative financial instruments and hedging activities for further information.</w:t>
      </w:r>
    </w:p>
    <w:p>
      <w:pPr>
        <w:spacing w:after="0" w:line="6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Client-held funds are interest earning deposits from which we generate custodial revenue. As of April 30, 2026 and January 31, 2026, we held Client-held funds of $1.0 billion and $1.1 billion, respectively. These deposits are amounts remitted by Clients and held by us on their behalf to pre-fund and facilitate administration of our other CDBs. These deposits are held with Depository Partners. We deposit the Client-held funds with our Depository Partners in interest-bearing, demand deposit accounts that have a floating interest rate and no set term or duration. A sustained decline in prevailing interest rates may negatively affect our business by reducing the size of the yield available to us and thus the amount of the custodial revenue we can realize from Client-held funds. Conversely, a sustained increase in prevailing interest rates may increase our yield. Changes in prevailing interest rates are driven by macroeconomic trends and government policies over which we have no control.</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all highly liquid investments purchased with an original maturity of three months or less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unrestricted cash equivalents. Our unrestricted cash and cash equivalents are held in institutions in the U.S. and include deposits in a money market account that is unrestricted as to withdrawal or use. As of April 30, 2026 and January 31, 2026, we had unrestricted cash and cash equivalents of $265.4 million and $318.9 million, respectively. Due to the short-term nature of these instruments, we believe that we do not have any material exposure to changes in the fair value of our cash and cash equivalents as a result of changes in interest rates.</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As of April 30, 2026 and January 31, 2026, we had $346.9 million and $361.9 million, respectively, outstanding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facility. The stated interest rate on our revolving credit facility is variable and was 5.00% as of April 30, 2026. Our overall interest rate sensitivity under the revolving credit facility is primarily influenced by any amounts borrowed and prevailing interest rates. For example, a one percent increase in the interest rate on the amount outstanding under our revolving credit facility as of April 30, 2026 would result in approximately $3.5 million of additional interest expense over the next 12 months. The interest rate on our $600 million of unsecured Senior Notes due 2029 is fixed at 4.50%.</w:t>
      </w: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with the participation of the Company’s Chief Executive Officer (“CEO”) and Chief Financial Officer (“CFO”), has evaluated the effectiveness of the Company’s disclosure controls and procedures as of April 30, 2026, the end of the period covered by this Quarterly Report on Form 10-Q. The term “disclosure controls and procedures,” as defined in Rules 13a-15(e) and 15d-15(e) under the Exchange Act,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E32E1"/>
        </w:rPr>
        <w:t>Table of Contents</w:t>
      </w:r>
    </w:p>
    <w:p>
      <w:pPr>
        <w:spacing w:after="0" w:line="200" w:lineRule="exact"/>
        <w:rPr>
          <w:sz w:val="20"/>
          <w:szCs w:val="20"/>
          <w:color w:val="auto"/>
        </w:rPr>
      </w:pPr>
    </w:p>
    <w:p>
      <w:pPr>
        <w:spacing w:after="0" w:line="3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Based on such evaluation, our CEO and our CFO concluded that as of April 30, 2026, the Company's disclosure controls and procedures were effective at the reasonable assurance level.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Rule 13a-15(d) and 15d-15(d) of the Exchange Act that occurred during the quarter ended April 30, 2026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25"/>
          <w:szCs w:val="25"/>
          <w:b w:val="1"/>
          <w:bCs w:val="1"/>
          <w:color w:val="auto"/>
        </w:rPr>
        <w:t>Part II—Other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From time-to-time, we may be subject to various legal proceedings and claims that arise in the normal course of our business activities. Except as described in Note 5—Commitments and contingencies, as of the date of this Quarterly Report on Form 10-Q, we were not a party to any litigation whereby the outcome of such litigation, if determined adversely to us, would individually or in the aggregate be reasonably expected to have a material adverse effect on our results of operations, cash flows or financial position. For a description of these legal proceedings, see Note 5—Commitments and contingencies of the notes to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0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212529"/>
        </w:rPr>
        <w:t xml:space="preserve">The risks described in “Risk factors” in our Annual Report on Form 10-K for the fiscal year ended </w:t>
      </w:r>
      <w:r>
        <w:rPr>
          <w:rFonts w:ascii="Arial" w:cs="Arial" w:eastAsia="Arial" w:hAnsi="Arial"/>
          <w:sz w:val="18"/>
          <w:szCs w:val="18"/>
          <w:color w:val="000000"/>
        </w:rPr>
        <w:t>January 31, 2026</w:t>
      </w:r>
      <w:r>
        <w:rPr>
          <w:rFonts w:ascii="Arial" w:cs="Arial" w:eastAsia="Arial" w:hAnsi="Arial"/>
          <w:sz w:val="18"/>
          <w:szCs w:val="18"/>
          <w:color w:val="212529"/>
        </w:rPr>
        <w:t xml:space="preserve"> and subsequent periodic reports could materially and adversely affect our business, financial condition and results of operations. There have been no material changes in such risks. These risk factors do not identify all risks that we face, and our operations could also be affected by factors that are not presently known to us or that we currently consider to be immaterial to our operations.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5"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following table presents information with respect to HealthEquity's repurchases of common stock during the three months ended April 30, 2026 (in thousands, except average price paid per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number of shares</w:t>
            </w:r>
          </w:p>
        </w:tc>
        <w:tc>
          <w:tcPr>
            <w:tcW w:w="19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1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 number of shares</w:t>
            </w:r>
          </w:p>
        </w:tc>
        <w:tc>
          <w:tcPr>
            <w:tcW w:w="1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9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purchased as part of</w:t>
            </w:r>
          </w:p>
        </w:tc>
        <w:tc>
          <w:tcPr>
            <w:tcW w:w="19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96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publicly announced plans</w:t>
            </w:r>
          </w:p>
        </w:tc>
        <w:tc>
          <w:tcPr>
            <w:tcW w:w="1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purchased (1)</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 (2)</w:t>
            </w:r>
          </w:p>
        </w:tc>
        <w:tc>
          <w:tcPr>
            <w:tcW w:w="9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or programs</w:t>
            </w: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or programs</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February 1 - 28</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77.93</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140,303</w:t>
            </w:r>
          </w:p>
        </w:tc>
        <w:tc>
          <w:tcPr>
            <w:tcW w:w="0" w:type="dxa"/>
            <w:vAlign w:val="bottom"/>
          </w:tcPr>
          <w:p>
            <w:pPr>
              <w:spacing w:after="0"/>
              <w:rPr>
                <w:sz w:val="1"/>
                <w:szCs w:val="1"/>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4"/>
                <w:szCs w:val="14"/>
                <w:color w:val="auto"/>
              </w:rPr>
              <w:t>March 1 - 31</w:t>
            </w:r>
          </w:p>
        </w:tc>
        <w:tc>
          <w:tcPr>
            <w:tcW w:w="1960" w:type="dxa"/>
            <w:vAlign w:val="bottom"/>
          </w:tcPr>
          <w:p>
            <w:pPr>
              <w:jc w:val="right"/>
              <w:spacing w:after="0"/>
              <w:rPr>
                <w:sz w:val="20"/>
                <w:szCs w:val="20"/>
                <w:color w:val="auto"/>
              </w:rPr>
            </w:pPr>
            <w:r>
              <w:rPr>
                <w:rFonts w:ascii="Arial" w:cs="Arial" w:eastAsia="Arial" w:hAnsi="Arial"/>
                <w:sz w:val="14"/>
                <w:szCs w:val="14"/>
                <w:color w:val="auto"/>
              </w:rPr>
              <w:t>549</w:t>
            </w:r>
          </w:p>
        </w:tc>
        <w:tc>
          <w:tcPr>
            <w:tcW w:w="10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80.21</w:t>
            </w:r>
          </w:p>
        </w:tc>
        <w:tc>
          <w:tcPr>
            <w:tcW w:w="1960" w:type="dxa"/>
            <w:vAlign w:val="bottom"/>
          </w:tcPr>
          <w:p>
            <w:pPr>
              <w:jc w:val="right"/>
              <w:spacing w:after="0"/>
              <w:rPr>
                <w:sz w:val="20"/>
                <w:szCs w:val="20"/>
                <w:color w:val="auto"/>
              </w:rPr>
            </w:pPr>
            <w:r>
              <w:rPr>
                <w:rFonts w:ascii="Arial" w:cs="Arial" w:eastAsia="Arial" w:hAnsi="Arial"/>
                <w:sz w:val="14"/>
                <w:szCs w:val="14"/>
                <w:color w:val="auto"/>
              </w:rPr>
              <w:t>549</w:t>
            </w:r>
          </w:p>
        </w:tc>
        <w:tc>
          <w:tcPr>
            <w:tcW w:w="114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96,304</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April 1 - 30</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82.50</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55,595</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w:t>
            </w:r>
          </w:p>
        </w:tc>
        <w:tc>
          <w:tcPr>
            <w:tcW w:w="10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w:t>
            </w:r>
          </w:p>
        </w:tc>
        <w:tc>
          <w:tcPr>
            <w:tcW w:w="1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60" w:right="720" w:hanging="252"/>
        <w:spacing w:after="0" w:line="285" w:lineRule="auto"/>
        <w:tabs>
          <w:tab w:leader="none" w:pos="24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Repurchases may be effected through open market purchases, privately negotiated transactions or otherwise, including through Rule 10b5-1 plans. See Note 9— Stockholders' equity for additional information related to our stock repurchase program.</w:t>
      </w:r>
    </w:p>
    <w:p>
      <w:pPr>
        <w:spacing w:after="0" w:line="9" w:lineRule="exact"/>
        <w:rPr>
          <w:rFonts w:ascii="Arial" w:cs="Arial" w:eastAsia="Arial" w:hAnsi="Arial"/>
          <w:sz w:val="14"/>
          <w:szCs w:val="14"/>
          <w:color w:val="auto"/>
        </w:rPr>
      </w:pPr>
    </w:p>
    <w:p>
      <w:pPr>
        <w:ind w:left="240" w:hanging="232"/>
        <w:spacing w:after="0"/>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price paid per share includes transaction fees but excludes excise tax associated with the repurchases.</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plan elections</w:t>
      </w:r>
    </w:p>
    <w:p>
      <w:pPr>
        <w:spacing w:after="0" w:line="11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212529"/>
        </w:rPr>
        <w:t xml:space="preserve">None of the Company's directors or officers adopted or terminated a Rule 10b5-1 trading arrangement or a non-Rule 10b5-1 trading arrangement (as such terms are defined in Item 408(c) of Regulation S-K) during the fiscal quarter ended </w:t>
      </w:r>
      <w:r>
        <w:rPr>
          <w:rFonts w:ascii="Arial" w:cs="Arial" w:eastAsia="Arial" w:hAnsi="Arial"/>
          <w:sz w:val="18"/>
          <w:szCs w:val="18"/>
          <w:color w:val="000000"/>
        </w:rPr>
        <w:t>April 30, 2026</w:t>
      </w:r>
      <w:r>
        <w:rPr>
          <w:rFonts w:ascii="Arial" w:cs="Arial" w:eastAsia="Arial" w:hAnsi="Arial"/>
          <w:sz w:val="18"/>
          <w:szCs w:val="18"/>
          <w:color w:val="21252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98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8" w:lineRule="exact"/>
        <w:rPr>
          <w:sz w:val="20"/>
          <w:szCs w:val="20"/>
          <w:color w:val="auto"/>
        </w:rPr>
      </w:pPr>
    </w:p>
    <w:p>
      <w:pPr>
        <w:ind w:left="9260"/>
        <w:spacing w:after="0"/>
        <w:rPr>
          <w:sz w:val="20"/>
          <w:szCs w:val="20"/>
          <w:color w:val="auto"/>
        </w:rPr>
      </w:pPr>
      <w:r>
        <w:rPr>
          <w:rFonts w:ascii="Arial" w:cs="Arial" w:eastAsia="Arial" w:hAnsi="Arial"/>
          <w:sz w:val="16"/>
          <w:szCs w:val="16"/>
          <w:b w:val="1"/>
          <w:bCs w:val="1"/>
          <w:color w:val="auto"/>
        </w:rPr>
        <w:t>Incorporate by reference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2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Exhibit</w:t>
            </w:r>
          </w:p>
        </w:tc>
        <w:tc>
          <w:tcPr>
            <w:tcW w:w="5280" w:type="dxa"/>
            <w:vAlign w:val="bottom"/>
            <w:tcBorders>
              <w:top w:val="single" w:sz="8" w:color="auto"/>
            </w:tcBorders>
            <w:gridSpan w:val="16"/>
          </w:tcPr>
          <w:p>
            <w:pPr>
              <w:spacing w:after="0" w:line="155" w:lineRule="exact"/>
              <w:rPr>
                <w:sz w:val="20"/>
                <w:szCs w:val="20"/>
                <w:color w:val="auto"/>
              </w:rPr>
            </w:pPr>
            <w:r>
              <w:rPr>
                <w:rFonts w:ascii="Arial" w:cs="Arial" w:eastAsia="Arial" w:hAnsi="Arial"/>
                <w:sz w:val="16"/>
                <w:szCs w:val="16"/>
                <w:b w:val="1"/>
                <w:bCs w:val="1"/>
                <w:color w:val="auto"/>
              </w:rPr>
              <w:t>Description</w:t>
            </w:r>
          </w:p>
        </w:tc>
        <w:tc>
          <w:tcPr>
            <w:tcW w:w="1100" w:type="dxa"/>
            <w:vAlign w:val="bottom"/>
            <w:tcBorders>
              <w:top w:val="single" w:sz="8" w:color="auto"/>
            </w:tcBorders>
          </w:tcPr>
          <w:p>
            <w:pPr>
              <w:ind w:left="320"/>
              <w:spacing w:after="0" w:line="155" w:lineRule="exact"/>
              <w:rPr>
                <w:sz w:val="20"/>
                <w:szCs w:val="20"/>
                <w:color w:val="auto"/>
              </w:rPr>
            </w:pPr>
            <w:r>
              <w:rPr>
                <w:rFonts w:ascii="Arial" w:cs="Arial" w:eastAsia="Arial" w:hAnsi="Arial"/>
                <w:sz w:val="16"/>
                <w:szCs w:val="16"/>
                <w:b w:val="1"/>
                <w:bCs w:val="1"/>
                <w:color w:val="auto"/>
              </w:rPr>
              <w:t>Form</w:t>
            </w:r>
          </w:p>
        </w:tc>
        <w:tc>
          <w:tcPr>
            <w:tcW w:w="1140" w:type="dxa"/>
            <w:vAlign w:val="bottom"/>
            <w:tcBorders>
              <w:top w:val="single" w:sz="8" w:color="auto"/>
            </w:tcBorders>
          </w:tcPr>
          <w:p>
            <w:pPr>
              <w:ind w:left="360"/>
              <w:spacing w:after="0" w:line="155" w:lineRule="exact"/>
              <w:rPr>
                <w:sz w:val="20"/>
                <w:szCs w:val="20"/>
                <w:color w:val="auto"/>
              </w:rPr>
            </w:pPr>
            <w:r>
              <w:rPr>
                <w:rFonts w:ascii="Arial" w:cs="Arial" w:eastAsia="Arial" w:hAnsi="Arial"/>
                <w:sz w:val="16"/>
                <w:szCs w:val="16"/>
                <w:b w:val="1"/>
                <w:bCs w:val="1"/>
                <w:color w:val="auto"/>
              </w:rPr>
              <w:t>File No.</w:t>
            </w:r>
          </w:p>
        </w:tc>
        <w:tc>
          <w:tcPr>
            <w:tcW w:w="1060" w:type="dxa"/>
            <w:vAlign w:val="bottom"/>
            <w:tcBorders>
              <w:top w:val="single" w:sz="8" w:color="auto"/>
            </w:tcBorders>
          </w:tcPr>
          <w:p>
            <w:pPr>
              <w:ind w:left="180"/>
              <w:spacing w:after="0" w:line="155" w:lineRule="exact"/>
              <w:rPr>
                <w:sz w:val="20"/>
                <w:szCs w:val="20"/>
                <w:color w:val="auto"/>
              </w:rPr>
            </w:pPr>
            <w:r>
              <w:rPr>
                <w:rFonts w:ascii="Arial" w:cs="Arial" w:eastAsia="Arial" w:hAnsi="Arial"/>
                <w:sz w:val="16"/>
                <w:szCs w:val="16"/>
                <w:b w:val="1"/>
                <w:bCs w:val="1"/>
                <w:color w:val="auto"/>
              </w:rPr>
              <w:t>Exhibit</w:t>
            </w:r>
          </w:p>
        </w:tc>
        <w:tc>
          <w:tcPr>
            <w:tcW w:w="1180" w:type="dxa"/>
            <w:vAlign w:val="bottom"/>
            <w:tcBorders>
              <w:top w:val="single" w:sz="8" w:color="auto"/>
            </w:tcBorders>
          </w:tcPr>
          <w:p>
            <w:pPr>
              <w:ind w:left="340"/>
              <w:spacing w:after="0" w:line="155" w:lineRule="exact"/>
              <w:rPr>
                <w:sz w:val="20"/>
                <w:szCs w:val="20"/>
                <w:color w:val="auto"/>
              </w:rPr>
            </w:pPr>
            <w:r>
              <w:rPr>
                <w:rFonts w:ascii="Arial" w:cs="Arial" w:eastAsia="Arial" w:hAnsi="Arial"/>
                <w:sz w:val="16"/>
                <w:szCs w:val="16"/>
                <w:b w:val="1"/>
                <w:bCs w:val="1"/>
                <w:color w:val="auto"/>
              </w:rPr>
              <w:t>Filing Date</w:t>
            </w:r>
          </w:p>
        </w:tc>
      </w:tr>
      <w:tr>
        <w:trPr>
          <w:trHeight w:val="215"/>
        </w:trPr>
        <w:tc>
          <w:tcPr>
            <w:tcW w:w="1420" w:type="dxa"/>
            <w:vAlign w:val="bottom"/>
          </w:tcPr>
          <w:p>
            <w:pPr>
              <w:ind w:left="20"/>
              <w:spacing w:after="0"/>
              <w:rPr>
                <w:sz w:val="20"/>
                <w:szCs w:val="20"/>
                <w:color w:val="auto"/>
              </w:rPr>
            </w:pPr>
            <w:r>
              <w:rPr>
                <w:rFonts w:ascii="Arial" w:cs="Arial" w:eastAsia="Arial" w:hAnsi="Arial"/>
                <w:sz w:val="16"/>
                <w:szCs w:val="16"/>
                <w:b w:val="1"/>
                <w:bCs w:val="1"/>
                <w:color w:val="auto"/>
              </w:rPr>
              <w:t>no.</w:t>
            </w: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6"/>
        </w:trPr>
        <w:tc>
          <w:tcPr>
            <w:tcW w:w="1420" w:type="dxa"/>
            <w:vAlign w:val="bottom"/>
          </w:tcPr>
          <w:p>
            <w:pPr>
              <w:ind w:left="20"/>
              <w:spacing w:after="0" w:line="176" w:lineRule="exact"/>
              <w:rPr>
                <w:sz w:val="20"/>
                <w:szCs w:val="20"/>
                <w:color w:val="auto"/>
              </w:rPr>
            </w:pPr>
            <w:r>
              <w:rPr>
                <w:rFonts w:ascii="Arial" w:cs="Arial" w:eastAsia="Arial" w:hAnsi="Arial"/>
                <w:sz w:val="16"/>
                <w:szCs w:val="16"/>
                <w:color w:val="auto"/>
              </w:rPr>
              <w:t>10.1+</w:t>
            </w:r>
          </w:p>
        </w:tc>
        <w:tc>
          <w:tcPr>
            <w:tcW w:w="4760" w:type="dxa"/>
            <w:vAlign w:val="bottom"/>
            <w:tcBorders>
              <w:bottom w:val="single" w:sz="8" w:color="0000FF"/>
            </w:tcBorders>
            <w:gridSpan w:val="10"/>
          </w:tcPr>
          <w:p>
            <w:pPr>
              <w:spacing w:after="0" w:line="176" w:lineRule="exact"/>
              <w:rPr>
                <w:sz w:val="20"/>
                <w:szCs w:val="20"/>
                <w:color w:val="auto"/>
              </w:rPr>
            </w:pPr>
            <w:r>
              <w:rPr>
                <w:rFonts w:ascii="Arial" w:cs="Arial" w:eastAsia="Arial" w:hAnsi="Arial"/>
                <w:sz w:val="16"/>
                <w:szCs w:val="16"/>
                <w:color w:val="0000FF"/>
              </w:rPr>
              <w:t>Forms of Award Agreements under the 2024 Equity Incentive Plan</w:t>
            </w:r>
          </w:p>
        </w:tc>
        <w:tc>
          <w:tcPr>
            <w:tcW w:w="52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10.2†+</w:t>
            </w:r>
          </w:p>
        </w:tc>
        <w:tc>
          <w:tcPr>
            <w:tcW w:w="5280" w:type="dxa"/>
            <w:vAlign w:val="bottom"/>
            <w:gridSpan w:val="16"/>
          </w:tcPr>
          <w:p>
            <w:pPr>
              <w:spacing w:after="0"/>
              <w:rPr>
                <w:sz w:val="20"/>
                <w:szCs w:val="20"/>
                <w:color w:val="auto"/>
              </w:rPr>
            </w:pPr>
            <w:r>
              <w:rPr>
                <w:rFonts w:ascii="Arial" w:cs="Arial" w:eastAsia="Arial" w:hAnsi="Arial"/>
                <w:sz w:val="16"/>
                <w:szCs w:val="16"/>
                <w:color w:val="0000FF"/>
              </w:rPr>
              <w:t>Amendment No. 1 to Employment Agreement, dated May 5, 2026,</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42"/>
        </w:trPr>
        <w:tc>
          <w:tcPr>
            <w:tcW w:w="1420" w:type="dxa"/>
            <w:vAlign w:val="bottom"/>
          </w:tcPr>
          <w:p>
            <w:pPr>
              <w:spacing w:after="0"/>
              <w:rPr>
                <w:sz w:val="12"/>
                <w:szCs w:val="12"/>
                <w:color w:val="auto"/>
              </w:rPr>
            </w:pPr>
          </w:p>
        </w:tc>
        <w:tc>
          <w:tcPr>
            <w:tcW w:w="474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between Stephen D. Neeleman, M.D. and the Company</w:t>
            </w: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10.3†+</w:t>
            </w:r>
          </w:p>
        </w:tc>
        <w:tc>
          <w:tcPr>
            <w:tcW w:w="5280" w:type="dxa"/>
            <w:vAlign w:val="bottom"/>
            <w:gridSpan w:val="16"/>
          </w:tcPr>
          <w:p>
            <w:pPr>
              <w:spacing w:after="0"/>
              <w:rPr>
                <w:sz w:val="20"/>
                <w:szCs w:val="20"/>
                <w:color w:val="auto"/>
              </w:rPr>
            </w:pPr>
            <w:r>
              <w:rPr>
                <w:rFonts w:ascii="Arial" w:cs="Arial" w:eastAsia="Arial" w:hAnsi="Arial"/>
                <w:sz w:val="16"/>
                <w:szCs w:val="16"/>
                <w:color w:val="0000FF"/>
              </w:rPr>
              <w:t>Amendment No. 1 to Employment Agreement, dated May 5, 2026,</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42"/>
        </w:trPr>
        <w:tc>
          <w:tcPr>
            <w:tcW w:w="142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between James M. Lucania and the Company</w:t>
            </w:r>
          </w:p>
        </w:tc>
        <w:tc>
          <w:tcPr>
            <w:tcW w:w="1440" w:type="dxa"/>
            <w:vAlign w:val="bottom"/>
            <w:tcBorders>
              <w:top w:val="single" w:sz="8" w:color="0000FF"/>
            </w:tcBorders>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10.4†+</w:t>
            </w:r>
          </w:p>
        </w:tc>
        <w:tc>
          <w:tcPr>
            <w:tcW w:w="5280" w:type="dxa"/>
            <w:vAlign w:val="bottom"/>
            <w:gridSpan w:val="16"/>
          </w:tcPr>
          <w:p>
            <w:pPr>
              <w:spacing w:after="0"/>
              <w:rPr>
                <w:sz w:val="20"/>
                <w:szCs w:val="20"/>
                <w:color w:val="auto"/>
              </w:rPr>
            </w:pPr>
            <w:r>
              <w:rPr>
                <w:rFonts w:ascii="Arial" w:cs="Arial" w:eastAsia="Arial" w:hAnsi="Arial"/>
                <w:sz w:val="16"/>
                <w:szCs w:val="16"/>
                <w:color w:val="0000FF"/>
              </w:rPr>
              <w:t>Amendment No. 1 to Employment Agreement, dated May 5, 2026,</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42"/>
        </w:trPr>
        <w:tc>
          <w:tcPr>
            <w:tcW w:w="1420" w:type="dxa"/>
            <w:vAlign w:val="bottom"/>
          </w:tcPr>
          <w:p>
            <w:pPr>
              <w:spacing w:after="0"/>
              <w:rPr>
                <w:sz w:val="12"/>
                <w:szCs w:val="12"/>
                <w:color w:val="auto"/>
              </w:rPr>
            </w:pPr>
          </w:p>
        </w:tc>
        <w:tc>
          <w:tcPr>
            <w:tcW w:w="304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between Scott R. Cutler and the Company</w:t>
            </w:r>
          </w:p>
        </w:tc>
        <w:tc>
          <w:tcPr>
            <w:tcW w:w="1700" w:type="dxa"/>
            <w:vAlign w:val="bottom"/>
            <w:tcBorders>
              <w:top w:val="single" w:sz="8" w:color="0000FF"/>
            </w:tcBorders>
            <w:gridSpan w:val="6"/>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10.5†+</w:t>
            </w:r>
          </w:p>
        </w:tc>
        <w:tc>
          <w:tcPr>
            <w:tcW w:w="5280" w:type="dxa"/>
            <w:vAlign w:val="bottom"/>
            <w:gridSpan w:val="16"/>
          </w:tcPr>
          <w:p>
            <w:pPr>
              <w:spacing w:after="0"/>
              <w:rPr>
                <w:sz w:val="20"/>
                <w:szCs w:val="20"/>
                <w:color w:val="auto"/>
              </w:rPr>
            </w:pPr>
            <w:r>
              <w:rPr>
                <w:rFonts w:ascii="Arial" w:cs="Arial" w:eastAsia="Arial" w:hAnsi="Arial"/>
                <w:sz w:val="16"/>
                <w:szCs w:val="16"/>
                <w:color w:val="0000FF"/>
              </w:rPr>
              <w:t>Amendment No. 1 to Employment Agreement, dated May 5, 2026,</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42"/>
        </w:trPr>
        <w:tc>
          <w:tcPr>
            <w:tcW w:w="1420" w:type="dxa"/>
            <w:vAlign w:val="bottom"/>
          </w:tcPr>
          <w:p>
            <w:pPr>
              <w:spacing w:after="0"/>
              <w:rPr>
                <w:sz w:val="12"/>
                <w:szCs w:val="12"/>
                <w:color w:val="auto"/>
              </w:rPr>
            </w:pPr>
          </w:p>
        </w:tc>
        <w:tc>
          <w:tcPr>
            <w:tcW w:w="316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between Michael H. Fiore and the Company</w:t>
            </w:r>
          </w:p>
        </w:tc>
        <w:tc>
          <w:tcPr>
            <w:tcW w:w="1580" w:type="dxa"/>
            <w:vAlign w:val="bottom"/>
            <w:tcBorders>
              <w:top w:val="single" w:sz="8" w:color="0000FF"/>
            </w:tcBorders>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10.6†+</w:t>
            </w:r>
          </w:p>
        </w:tc>
        <w:tc>
          <w:tcPr>
            <w:tcW w:w="5280" w:type="dxa"/>
            <w:vAlign w:val="bottom"/>
            <w:gridSpan w:val="16"/>
          </w:tcPr>
          <w:p>
            <w:pPr>
              <w:spacing w:after="0"/>
              <w:rPr>
                <w:sz w:val="20"/>
                <w:szCs w:val="20"/>
                <w:color w:val="auto"/>
              </w:rPr>
            </w:pPr>
            <w:r>
              <w:rPr>
                <w:rFonts w:ascii="Arial" w:cs="Arial" w:eastAsia="Arial" w:hAnsi="Arial"/>
                <w:sz w:val="16"/>
                <w:szCs w:val="16"/>
                <w:color w:val="0000FF"/>
              </w:rPr>
              <w:t>Amendment No. 1 to Employment Agreement dated May 5, 2026,</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42"/>
        </w:trPr>
        <w:tc>
          <w:tcPr>
            <w:tcW w:w="1420" w:type="dxa"/>
            <w:vAlign w:val="bottom"/>
          </w:tcPr>
          <w:p>
            <w:pPr>
              <w:spacing w:after="0"/>
              <w:rPr>
                <w:sz w:val="12"/>
                <w:szCs w:val="12"/>
                <w:color w:val="auto"/>
              </w:rPr>
            </w:pPr>
          </w:p>
        </w:tc>
        <w:tc>
          <w:tcPr>
            <w:tcW w:w="314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between Delano W. Ladd and the Company</w:t>
            </w:r>
          </w:p>
        </w:tc>
        <w:tc>
          <w:tcPr>
            <w:tcW w:w="1560" w:type="dxa"/>
            <w:vAlign w:val="bottom"/>
            <w:tcBorders>
              <w:top w:val="single" w:sz="8" w:color="0000FF"/>
            </w:tcBorders>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31.1+</w:t>
            </w:r>
          </w:p>
        </w:tc>
        <w:tc>
          <w:tcPr>
            <w:tcW w:w="5280" w:type="dxa"/>
            <w:vAlign w:val="bottom"/>
            <w:gridSpan w:val="16"/>
          </w:tcPr>
          <w:p>
            <w:pPr>
              <w:spacing w:after="0"/>
              <w:rPr>
                <w:sz w:val="20"/>
                <w:szCs w:val="20"/>
                <w:color w:val="auto"/>
              </w:rPr>
            </w:pPr>
            <w:r>
              <w:rPr>
                <w:rFonts w:ascii="Arial" w:cs="Arial" w:eastAsia="Arial" w:hAnsi="Arial"/>
                <w:sz w:val="16"/>
                <w:szCs w:val="16"/>
                <w:color w:val="0000FF"/>
              </w:rPr>
              <w:t>Certification of the Principal Executive Officer Pursuant to Exchange Act</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42"/>
        </w:trPr>
        <w:tc>
          <w:tcPr>
            <w:tcW w:w="1420" w:type="dxa"/>
            <w:vAlign w:val="bottom"/>
          </w:tcPr>
          <w:p>
            <w:pPr>
              <w:spacing w:after="0"/>
              <w:rPr>
                <w:sz w:val="12"/>
                <w:szCs w:val="12"/>
                <w:color w:val="auto"/>
              </w:rPr>
            </w:pPr>
          </w:p>
        </w:tc>
        <w:tc>
          <w:tcPr>
            <w:tcW w:w="516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Rules 13a-14(a) and 15d-14(a), as Adopted Pursuant to Section 302 of</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2"/>
        </w:trPr>
        <w:tc>
          <w:tcPr>
            <w:tcW w:w="142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the Sarbanes-Oxley Act of 2002</w:t>
            </w:r>
          </w:p>
        </w:tc>
        <w:tc>
          <w:tcPr>
            <w:tcW w:w="278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31.2+</w:t>
            </w:r>
          </w:p>
        </w:tc>
        <w:tc>
          <w:tcPr>
            <w:tcW w:w="5280" w:type="dxa"/>
            <w:vAlign w:val="bottom"/>
            <w:gridSpan w:val="16"/>
          </w:tcPr>
          <w:p>
            <w:pPr>
              <w:spacing w:after="0"/>
              <w:rPr>
                <w:sz w:val="20"/>
                <w:szCs w:val="20"/>
                <w:color w:val="auto"/>
              </w:rPr>
            </w:pPr>
            <w:r>
              <w:rPr>
                <w:rFonts w:ascii="Arial" w:cs="Arial" w:eastAsia="Arial" w:hAnsi="Arial"/>
                <w:sz w:val="16"/>
                <w:szCs w:val="16"/>
                <w:color w:val="0000FF"/>
              </w:rPr>
              <w:t>Certification of the Principal Financial Officer Pursuant to Exchange Act</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42"/>
        </w:trPr>
        <w:tc>
          <w:tcPr>
            <w:tcW w:w="1420" w:type="dxa"/>
            <w:vAlign w:val="bottom"/>
          </w:tcPr>
          <w:p>
            <w:pPr>
              <w:spacing w:after="0"/>
              <w:rPr>
                <w:sz w:val="12"/>
                <w:szCs w:val="12"/>
                <w:color w:val="auto"/>
              </w:rPr>
            </w:pPr>
          </w:p>
        </w:tc>
        <w:tc>
          <w:tcPr>
            <w:tcW w:w="510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Rules 13a-14(a) and 15d-14(a), as Adopted Pursuant to Section 302 of</w:t>
            </w:r>
          </w:p>
        </w:tc>
        <w:tc>
          <w:tcPr>
            <w:tcW w:w="180" w:type="dxa"/>
            <w:vAlign w:val="bottom"/>
            <w:gridSpan w:val="2"/>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2"/>
        </w:trPr>
        <w:tc>
          <w:tcPr>
            <w:tcW w:w="142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the Sarbanes-Oxley Act of 2002</w:t>
            </w:r>
          </w:p>
        </w:tc>
        <w:tc>
          <w:tcPr>
            <w:tcW w:w="2780" w:type="dxa"/>
            <w:vAlign w:val="bottom"/>
            <w:tcBorders>
              <w:top w:val="single" w:sz="8" w:color="0000FF"/>
            </w:tcBorders>
            <w:gridSpan w:val="11"/>
          </w:tcPr>
          <w:p>
            <w:pPr>
              <w:spacing w:after="0"/>
              <w:rPr>
                <w:sz w:val="12"/>
                <w:szCs w:val="12"/>
                <w:color w:val="auto"/>
              </w:rPr>
            </w:pPr>
          </w:p>
        </w:tc>
        <w:tc>
          <w:tcPr>
            <w:tcW w:w="200" w:type="dxa"/>
            <w:vAlign w:val="bottom"/>
            <w:gridSpan w:val="3"/>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32.1*#</w:t>
            </w:r>
          </w:p>
        </w:tc>
        <w:tc>
          <w:tcPr>
            <w:tcW w:w="5280" w:type="dxa"/>
            <w:vAlign w:val="bottom"/>
            <w:gridSpan w:val="16"/>
          </w:tcPr>
          <w:p>
            <w:pPr>
              <w:spacing w:after="0"/>
              <w:rPr>
                <w:sz w:val="20"/>
                <w:szCs w:val="20"/>
                <w:color w:val="auto"/>
              </w:rPr>
            </w:pPr>
            <w:r>
              <w:rPr>
                <w:rFonts w:ascii="Arial" w:cs="Arial" w:eastAsia="Arial" w:hAnsi="Arial"/>
                <w:sz w:val="16"/>
                <w:szCs w:val="16"/>
                <w:color w:val="0000FF"/>
              </w:rPr>
              <w:t>Certification of the Principal Executive Officer Pursuant to 18 U.S.C.</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42"/>
        </w:trPr>
        <w:tc>
          <w:tcPr>
            <w:tcW w:w="142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Section 1350, as Adopted Pursuant to Section 906 of the Sarbanes-</w:t>
            </w:r>
          </w:p>
        </w:tc>
        <w:tc>
          <w:tcPr>
            <w:tcW w:w="420" w:type="dxa"/>
            <w:vAlign w:val="bottom"/>
            <w:tcBorders>
              <w:bottom w:val="single" w:sz="8" w:color="0000FF"/>
            </w:tcBorders>
            <w:gridSpan w:val="4"/>
          </w:tcPr>
          <w:p>
            <w:pPr>
              <w:jc w:val="right"/>
              <w:spacing w:after="0" w:line="142" w:lineRule="exact"/>
              <w:rPr>
                <w:sz w:val="20"/>
                <w:szCs w:val="20"/>
                <w:color w:val="auto"/>
              </w:rPr>
            </w:pPr>
            <w:r>
              <w:rPr>
                <w:rFonts w:ascii="Arial" w:cs="Arial" w:eastAsia="Arial" w:hAnsi="Arial"/>
                <w:sz w:val="16"/>
                <w:szCs w:val="16"/>
                <w:color w:val="0000FF"/>
                <w:w w:val="97"/>
              </w:rPr>
              <w:t>Oxley</w:t>
            </w: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2"/>
        </w:trPr>
        <w:tc>
          <w:tcPr>
            <w:tcW w:w="1420" w:type="dxa"/>
            <w:vAlign w:val="bottom"/>
          </w:tcPr>
          <w:p>
            <w:pPr>
              <w:spacing w:after="0"/>
              <w:rPr>
                <w:sz w:val="12"/>
                <w:szCs w:val="12"/>
                <w:color w:val="auto"/>
              </w:rPr>
            </w:pPr>
          </w:p>
        </w:tc>
        <w:tc>
          <w:tcPr>
            <w:tcW w:w="82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8"/>
              </w:rPr>
              <w:t>Act of 2002</w:t>
            </w:r>
          </w:p>
        </w:tc>
        <w:tc>
          <w:tcPr>
            <w:tcW w:w="4460" w:type="dxa"/>
            <w:vAlign w:val="bottom"/>
            <w:gridSpan w:val="15"/>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6"/>
        </w:trPr>
        <w:tc>
          <w:tcPr>
            <w:tcW w:w="1420" w:type="dxa"/>
            <w:vAlign w:val="bottom"/>
          </w:tcPr>
          <w:p>
            <w:pPr>
              <w:ind w:left="20"/>
              <w:spacing w:after="0"/>
              <w:rPr>
                <w:sz w:val="20"/>
                <w:szCs w:val="20"/>
                <w:color w:val="auto"/>
              </w:rPr>
            </w:pPr>
            <w:r>
              <w:rPr>
                <w:rFonts w:ascii="Arial" w:cs="Arial" w:eastAsia="Arial" w:hAnsi="Arial"/>
                <w:sz w:val="16"/>
                <w:szCs w:val="16"/>
                <w:color w:val="auto"/>
              </w:rPr>
              <w:t>32.2*#</w:t>
            </w:r>
          </w:p>
        </w:tc>
        <w:tc>
          <w:tcPr>
            <w:tcW w:w="5280" w:type="dxa"/>
            <w:vAlign w:val="bottom"/>
            <w:gridSpan w:val="16"/>
          </w:tcPr>
          <w:p>
            <w:pPr>
              <w:spacing w:after="0"/>
              <w:rPr>
                <w:sz w:val="20"/>
                <w:szCs w:val="20"/>
                <w:color w:val="auto"/>
              </w:rPr>
            </w:pPr>
            <w:r>
              <w:rPr>
                <w:rFonts w:ascii="Arial" w:cs="Arial" w:eastAsia="Arial" w:hAnsi="Arial"/>
                <w:sz w:val="16"/>
                <w:szCs w:val="16"/>
                <w:color w:val="0000FF"/>
              </w:rPr>
              <w:t>Certification of the Principal Financial Officer Pursuant to 18 U.S.C.</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42"/>
        </w:trPr>
        <w:tc>
          <w:tcPr>
            <w:tcW w:w="1420" w:type="dxa"/>
            <w:vAlign w:val="bottom"/>
          </w:tcPr>
          <w:p>
            <w:pPr>
              <w:spacing w:after="0"/>
              <w:rPr>
                <w:sz w:val="12"/>
                <w:szCs w:val="12"/>
                <w:color w:val="auto"/>
              </w:rPr>
            </w:pPr>
          </w:p>
        </w:tc>
        <w:tc>
          <w:tcPr>
            <w:tcW w:w="4800" w:type="dxa"/>
            <w:vAlign w:val="bottom"/>
            <w:tcBorders>
              <w:top w:val="single" w:sz="8" w:color="0000FF"/>
              <w:bottom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Section 1350, as Adopted Pursuant to Section 906 of the Sarbanes</w:t>
            </w:r>
          </w:p>
        </w:tc>
        <w:tc>
          <w:tcPr>
            <w:tcW w:w="480" w:type="dxa"/>
            <w:vAlign w:val="bottom"/>
            <w:tcBorders>
              <w:bottom w:val="single" w:sz="8" w:color="0000FF"/>
            </w:tcBorders>
            <w:gridSpan w:val="5"/>
          </w:tcPr>
          <w:p>
            <w:pPr>
              <w:jc w:val="right"/>
              <w:spacing w:after="0" w:line="142" w:lineRule="exact"/>
              <w:rPr>
                <w:sz w:val="20"/>
                <w:szCs w:val="20"/>
                <w:color w:val="auto"/>
              </w:rPr>
            </w:pPr>
            <w:r>
              <w:rPr>
                <w:rFonts w:ascii="Arial" w:cs="Arial" w:eastAsia="Arial" w:hAnsi="Arial"/>
                <w:sz w:val="16"/>
                <w:szCs w:val="16"/>
                <w:color w:val="0000FF"/>
                <w:w w:val="99"/>
              </w:rPr>
              <w:t>-Oxley</w:t>
            </w: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2"/>
        </w:trPr>
        <w:tc>
          <w:tcPr>
            <w:tcW w:w="1420" w:type="dxa"/>
            <w:vAlign w:val="bottom"/>
          </w:tcPr>
          <w:p>
            <w:pPr>
              <w:spacing w:after="0"/>
              <w:rPr>
                <w:sz w:val="12"/>
                <w:szCs w:val="12"/>
                <w:color w:val="auto"/>
              </w:rPr>
            </w:pPr>
          </w:p>
        </w:tc>
        <w:tc>
          <w:tcPr>
            <w:tcW w:w="82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8"/>
              </w:rPr>
              <w:t>Act of 2002</w:t>
            </w:r>
          </w:p>
        </w:tc>
        <w:tc>
          <w:tcPr>
            <w:tcW w:w="4460" w:type="dxa"/>
            <w:vAlign w:val="bottom"/>
            <w:gridSpan w:val="15"/>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3"/>
        </w:trPr>
        <w:tc>
          <w:tcPr>
            <w:tcW w:w="1420" w:type="dxa"/>
            <w:vAlign w:val="bottom"/>
          </w:tcPr>
          <w:p>
            <w:pPr>
              <w:ind w:left="20"/>
              <w:spacing w:after="0" w:line="183" w:lineRule="exact"/>
              <w:rPr>
                <w:sz w:val="20"/>
                <w:szCs w:val="20"/>
                <w:color w:val="auto"/>
              </w:rPr>
            </w:pPr>
            <w:r>
              <w:rPr>
                <w:rFonts w:ascii="Arial" w:cs="Arial" w:eastAsia="Arial" w:hAnsi="Arial"/>
                <w:sz w:val="16"/>
                <w:szCs w:val="16"/>
                <w:color w:val="auto"/>
              </w:rPr>
              <w:t>101.INS</w:t>
            </w:r>
          </w:p>
        </w:tc>
        <w:tc>
          <w:tcPr>
            <w:tcW w:w="5280" w:type="dxa"/>
            <w:vAlign w:val="bottom"/>
            <w:gridSpan w:val="16"/>
          </w:tcPr>
          <w:p>
            <w:pPr>
              <w:spacing w:after="0" w:line="183" w:lineRule="exact"/>
              <w:rPr>
                <w:sz w:val="20"/>
                <w:szCs w:val="20"/>
                <w:color w:val="auto"/>
              </w:rPr>
            </w:pPr>
            <w:r>
              <w:rPr>
                <w:rFonts w:ascii="Arial" w:cs="Arial" w:eastAsia="Arial" w:hAnsi="Arial"/>
                <w:sz w:val="16"/>
                <w:szCs w:val="16"/>
                <w:color w:val="auto"/>
              </w:rPr>
              <w:t>XBRL Instance document - the instance document does not appear in the</w:t>
            </w: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2"/>
        </w:trPr>
        <w:tc>
          <w:tcPr>
            <w:tcW w:w="1420" w:type="dxa"/>
            <w:vAlign w:val="bottom"/>
          </w:tcPr>
          <w:p>
            <w:pPr>
              <w:spacing w:after="0"/>
              <w:rPr>
                <w:sz w:val="14"/>
                <w:szCs w:val="14"/>
                <w:color w:val="auto"/>
              </w:rPr>
            </w:pPr>
          </w:p>
        </w:tc>
        <w:tc>
          <w:tcPr>
            <w:tcW w:w="5280" w:type="dxa"/>
            <w:vAlign w:val="bottom"/>
            <w:gridSpan w:val="16"/>
          </w:tcPr>
          <w:p>
            <w:pPr>
              <w:spacing w:after="0" w:line="162" w:lineRule="exact"/>
              <w:rPr>
                <w:sz w:val="20"/>
                <w:szCs w:val="20"/>
                <w:color w:val="auto"/>
              </w:rPr>
            </w:pPr>
            <w:r>
              <w:rPr>
                <w:rFonts w:ascii="Arial" w:cs="Arial" w:eastAsia="Arial" w:hAnsi="Arial"/>
                <w:sz w:val="16"/>
                <w:szCs w:val="16"/>
                <w:color w:val="auto"/>
              </w:rPr>
              <w:t>Interactive Data File because its XBRL tags are embedded within the</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5"/>
        </w:trPr>
        <w:tc>
          <w:tcPr>
            <w:tcW w:w="1420" w:type="dxa"/>
            <w:vAlign w:val="bottom"/>
          </w:tcPr>
          <w:p>
            <w:pPr>
              <w:spacing w:after="0"/>
              <w:rPr>
                <w:sz w:val="18"/>
                <w:szCs w:val="18"/>
                <w:color w:val="auto"/>
              </w:rPr>
            </w:pPr>
          </w:p>
        </w:tc>
        <w:tc>
          <w:tcPr>
            <w:tcW w:w="5280" w:type="dxa"/>
            <w:vAlign w:val="bottom"/>
            <w:gridSpan w:val="16"/>
          </w:tcPr>
          <w:p>
            <w:pPr>
              <w:spacing w:after="0"/>
              <w:rPr>
                <w:sz w:val="20"/>
                <w:szCs w:val="20"/>
                <w:color w:val="auto"/>
              </w:rPr>
            </w:pPr>
            <w:r>
              <w:rPr>
                <w:rFonts w:ascii="Arial" w:cs="Arial" w:eastAsia="Arial" w:hAnsi="Arial"/>
                <w:sz w:val="16"/>
                <w:szCs w:val="16"/>
                <w:color w:val="auto"/>
              </w:rPr>
              <w:t>Inline XBRL document.</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1420" w:type="dxa"/>
            <w:vAlign w:val="bottom"/>
          </w:tcPr>
          <w:p>
            <w:pPr>
              <w:ind w:left="20"/>
              <w:spacing w:after="0"/>
              <w:rPr>
                <w:sz w:val="20"/>
                <w:szCs w:val="20"/>
                <w:color w:val="auto"/>
              </w:rPr>
            </w:pPr>
            <w:r>
              <w:rPr>
                <w:rFonts w:ascii="Arial" w:cs="Arial" w:eastAsia="Arial" w:hAnsi="Arial"/>
                <w:sz w:val="16"/>
                <w:szCs w:val="16"/>
                <w:color w:val="auto"/>
              </w:rPr>
              <w:t>101.SCH</w:t>
            </w:r>
          </w:p>
        </w:tc>
        <w:tc>
          <w:tcPr>
            <w:tcW w:w="5280" w:type="dxa"/>
            <w:vAlign w:val="bottom"/>
            <w:gridSpan w:val="16"/>
          </w:tcPr>
          <w:p>
            <w:pPr>
              <w:spacing w:after="0"/>
              <w:rPr>
                <w:sz w:val="20"/>
                <w:szCs w:val="20"/>
                <w:color w:val="auto"/>
              </w:rPr>
            </w:pPr>
            <w:r>
              <w:rPr>
                <w:rFonts w:ascii="Arial" w:cs="Arial" w:eastAsia="Arial" w:hAnsi="Arial"/>
                <w:sz w:val="16"/>
                <w:szCs w:val="16"/>
                <w:color w:val="auto"/>
              </w:rPr>
              <w:t>Inline XBRL Taxonomy schema linkbase document</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101.CAL</w:t>
            </w:r>
          </w:p>
        </w:tc>
        <w:tc>
          <w:tcPr>
            <w:tcW w:w="5280" w:type="dxa"/>
            <w:vAlign w:val="bottom"/>
            <w:gridSpan w:val="16"/>
          </w:tcPr>
          <w:p>
            <w:pPr>
              <w:spacing w:after="0"/>
              <w:rPr>
                <w:sz w:val="20"/>
                <w:szCs w:val="20"/>
                <w:color w:val="auto"/>
              </w:rPr>
            </w:pPr>
            <w:r>
              <w:rPr>
                <w:rFonts w:ascii="Arial" w:cs="Arial" w:eastAsia="Arial" w:hAnsi="Arial"/>
                <w:sz w:val="16"/>
                <w:szCs w:val="16"/>
                <w:color w:val="auto"/>
              </w:rPr>
              <w:t>Inline XBRL Taxonomy calculation linkbase document</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101.DEF</w:t>
            </w:r>
          </w:p>
        </w:tc>
        <w:tc>
          <w:tcPr>
            <w:tcW w:w="5280" w:type="dxa"/>
            <w:vAlign w:val="bottom"/>
            <w:gridSpan w:val="16"/>
          </w:tcPr>
          <w:p>
            <w:pPr>
              <w:spacing w:after="0"/>
              <w:rPr>
                <w:sz w:val="20"/>
                <w:szCs w:val="20"/>
                <w:color w:val="auto"/>
              </w:rPr>
            </w:pPr>
            <w:r>
              <w:rPr>
                <w:rFonts w:ascii="Arial" w:cs="Arial" w:eastAsia="Arial" w:hAnsi="Arial"/>
                <w:sz w:val="16"/>
                <w:szCs w:val="16"/>
                <w:color w:val="auto"/>
              </w:rPr>
              <w:t>Inline XBRL Taxonomy definition linkbase document</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101.LAB</w:t>
            </w:r>
          </w:p>
        </w:tc>
        <w:tc>
          <w:tcPr>
            <w:tcW w:w="5280" w:type="dxa"/>
            <w:vAlign w:val="bottom"/>
            <w:gridSpan w:val="16"/>
          </w:tcPr>
          <w:p>
            <w:pPr>
              <w:spacing w:after="0"/>
              <w:rPr>
                <w:sz w:val="20"/>
                <w:szCs w:val="20"/>
                <w:color w:val="auto"/>
              </w:rPr>
            </w:pPr>
            <w:r>
              <w:rPr>
                <w:rFonts w:ascii="Arial" w:cs="Arial" w:eastAsia="Arial" w:hAnsi="Arial"/>
                <w:sz w:val="16"/>
                <w:szCs w:val="16"/>
                <w:color w:val="auto"/>
              </w:rPr>
              <w:t>Inline XBRL Taxonomy labels linkbase document</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6"/>
                <w:szCs w:val="16"/>
                <w:color w:val="auto"/>
              </w:rPr>
              <w:t>101.PRE</w:t>
            </w:r>
          </w:p>
        </w:tc>
        <w:tc>
          <w:tcPr>
            <w:tcW w:w="5280" w:type="dxa"/>
            <w:vAlign w:val="bottom"/>
            <w:gridSpan w:val="16"/>
          </w:tcPr>
          <w:p>
            <w:pPr>
              <w:spacing w:after="0"/>
              <w:rPr>
                <w:sz w:val="20"/>
                <w:szCs w:val="20"/>
                <w:color w:val="auto"/>
              </w:rPr>
            </w:pPr>
            <w:r>
              <w:rPr>
                <w:rFonts w:ascii="Arial" w:cs="Arial" w:eastAsia="Arial" w:hAnsi="Arial"/>
                <w:sz w:val="16"/>
                <w:szCs w:val="16"/>
                <w:color w:val="auto"/>
              </w:rPr>
              <w:t>Inline XBRL Taxonomy presentation linkbase document</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1" w:lineRule="exact"/>
        <w:rPr>
          <w:sz w:val="20"/>
          <w:szCs w:val="20"/>
          <w:color w:val="auto"/>
        </w:rPr>
      </w:pPr>
    </w:p>
    <w:p>
      <w:pPr>
        <w:ind w:left="1420" w:right="4620" w:hanging="1394"/>
        <w:spacing w:after="0" w:line="251" w:lineRule="auto"/>
        <w:tabs>
          <w:tab w:leader="none" w:pos="1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 ended April 30, 2026, formatted in Inline XBRL.</w:t>
      </w:r>
    </w:p>
    <w:p>
      <w:pPr>
        <w:spacing w:after="0" w:line="119" w:lineRule="exact"/>
        <w:rPr>
          <w:rFonts w:ascii="Arial" w:cs="Arial" w:eastAsia="Arial" w:hAnsi="Arial"/>
          <w:sz w:val="16"/>
          <w:szCs w:val="16"/>
          <w:color w:val="auto"/>
        </w:rPr>
      </w:pPr>
    </w:p>
    <w:p>
      <w:pPr>
        <w:ind w:left="500" w:hanging="229"/>
        <w:spacing w:after="0"/>
        <w:tabs>
          <w:tab w:leader="none" w:pos="500" w:val="left"/>
        </w:tabs>
        <w:numPr>
          <w:ilvl w:val="1"/>
          <w:numId w:val="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42" w:lineRule="exact"/>
        <w:rPr>
          <w:sz w:val="20"/>
          <w:szCs w:val="20"/>
          <w:color w:val="auto"/>
        </w:rPr>
      </w:pPr>
    </w:p>
    <w:p>
      <w:pPr>
        <w:ind w:left="300"/>
        <w:spacing w:after="0"/>
        <w:tabs>
          <w:tab w:leader="none" w:pos="480" w:val="left"/>
        </w:tabs>
        <w:rPr>
          <w:sz w:val="20"/>
          <w:szCs w:val="20"/>
          <w:color w:val="auto"/>
        </w:rPr>
      </w:pPr>
      <w:r>
        <w:rPr>
          <w:rFonts w:ascii="Arial" w:cs="Arial" w:eastAsia="Arial" w:hAnsi="Arial"/>
          <w:sz w:val="14"/>
          <w:szCs w:val="14"/>
          <w:color w:val="auto"/>
        </w:rPr>
        <w:t>*</w:t>
        <w:tab/>
        <w:t>Furnished herewith.</w:t>
      </w:r>
    </w:p>
    <w:p>
      <w:pPr>
        <w:spacing w:after="0" w:line="42" w:lineRule="exact"/>
        <w:rPr>
          <w:sz w:val="20"/>
          <w:szCs w:val="20"/>
          <w:color w:val="auto"/>
        </w:rPr>
      </w:pPr>
    </w:p>
    <w:p>
      <w:pPr>
        <w:ind w:left="500" w:right="180" w:hanging="225"/>
        <w:spacing w:after="0" w:line="252"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certifications are not deemed filed with the Securities and Exchange Commission and are not to be incorporated by reference in any filing the registrant makes under the Securities Act of 1933, as amended, or the Securities Exchange Act of 1934, irrespective of any general incorporation language in any filings.</w:t>
      </w:r>
    </w:p>
    <w:p>
      <w:pPr>
        <w:spacing w:after="0" w:line="1" w:lineRule="exact"/>
        <w:rPr>
          <w:sz w:val="20"/>
          <w:szCs w:val="20"/>
          <w:color w:val="auto"/>
        </w:rPr>
      </w:pPr>
    </w:p>
    <w:p>
      <w:pPr>
        <w:ind w:left="280"/>
        <w:spacing w:after="0"/>
        <w:tabs>
          <w:tab w:leader="none" w:pos="480" w:val="left"/>
        </w:tabs>
        <w:rPr>
          <w:sz w:val="20"/>
          <w:szCs w:val="20"/>
          <w:color w:val="auto"/>
        </w:rPr>
      </w:pPr>
      <w:r>
        <w:rPr>
          <w:rFonts w:ascii="Arial" w:cs="Arial" w:eastAsia="Arial" w:hAnsi="Arial"/>
          <w:sz w:val="14"/>
          <w:szCs w:val="14"/>
          <w:color w:val="auto"/>
        </w:rPr>
        <w:t>†</w:t>
        <w:tab/>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Signatures</w:t>
      </w:r>
    </w:p>
    <w:p>
      <w:pPr>
        <w:spacing w:after="0" w:line="12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640" w:type="dxa"/>
            <w:vAlign w:val="bottom"/>
          </w:tcPr>
          <w:p>
            <w:pPr>
              <w:spacing w:after="0"/>
              <w:rPr>
                <w:sz w:val="19"/>
                <w:szCs w:val="19"/>
                <w:color w:val="auto"/>
              </w:rPr>
            </w:pPr>
          </w:p>
        </w:tc>
        <w:tc>
          <w:tcPr>
            <w:tcW w:w="7540" w:type="dxa"/>
            <w:vAlign w:val="bottom"/>
            <w:gridSpan w:val="2"/>
          </w:tcPr>
          <w:p>
            <w:pPr>
              <w:ind w:left="2040"/>
              <w:spacing w:after="0"/>
              <w:rPr>
                <w:sz w:val="20"/>
                <w:szCs w:val="20"/>
                <w:color w:val="auto"/>
              </w:rPr>
            </w:pPr>
            <w:r>
              <w:rPr>
                <w:rFonts w:ascii="Arial" w:cs="Arial" w:eastAsia="Arial" w:hAnsi="Arial"/>
                <w:sz w:val="18"/>
                <w:szCs w:val="18"/>
                <w:b w:val="1"/>
                <w:bCs w:val="1"/>
                <w:color w:val="auto"/>
              </w:rPr>
              <w:t>HEALTHEQUITY, INC.</w:t>
            </w:r>
          </w:p>
        </w:tc>
      </w:tr>
      <w:tr>
        <w:trPr>
          <w:trHeight w:val="235"/>
        </w:trPr>
        <w:tc>
          <w:tcPr>
            <w:tcW w:w="3640" w:type="dxa"/>
            <w:vAlign w:val="bottom"/>
          </w:tcPr>
          <w:p>
            <w:pPr>
              <w:spacing w:after="0"/>
              <w:rPr>
                <w:sz w:val="20"/>
                <w:szCs w:val="20"/>
                <w:color w:val="auto"/>
              </w:rPr>
            </w:pPr>
            <w:r>
              <w:rPr>
                <w:rFonts w:ascii="Arial" w:cs="Arial" w:eastAsia="Arial" w:hAnsi="Arial"/>
                <w:sz w:val="18"/>
                <w:szCs w:val="18"/>
                <w:color w:val="auto"/>
              </w:rPr>
              <w:t>Date: May 28, 2026</w:t>
            </w:r>
          </w:p>
        </w:tc>
        <w:tc>
          <w:tcPr>
            <w:tcW w:w="3160" w:type="dxa"/>
            <w:vAlign w:val="bottom"/>
          </w:tcPr>
          <w:p>
            <w:pPr>
              <w:ind w:left="20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Lucania</w:t>
            </w:r>
          </w:p>
        </w:tc>
      </w:tr>
      <w:tr>
        <w:trPr>
          <w:trHeight w:val="218"/>
        </w:trPr>
        <w:tc>
          <w:tcPr>
            <w:tcW w:w="3640" w:type="dxa"/>
            <w:vAlign w:val="bottom"/>
          </w:tcPr>
          <w:p>
            <w:pPr>
              <w:spacing w:after="0"/>
              <w:rPr>
                <w:sz w:val="18"/>
                <w:szCs w:val="18"/>
                <w:color w:val="auto"/>
              </w:rPr>
            </w:pPr>
          </w:p>
        </w:tc>
        <w:tc>
          <w:tcPr>
            <w:tcW w:w="3160" w:type="dxa"/>
            <w:vAlign w:val="bottom"/>
          </w:tcPr>
          <w:p>
            <w:pPr>
              <w:ind w:left="2040"/>
              <w:spacing w:after="0"/>
              <w:rPr>
                <w:sz w:val="20"/>
                <w:szCs w:val="20"/>
                <w:color w:val="auto"/>
              </w:rPr>
            </w:pPr>
            <w:r>
              <w:rPr>
                <w:rFonts w:ascii="Arial" w:cs="Arial" w:eastAsia="Arial" w:hAnsi="Arial"/>
                <w:sz w:val="18"/>
                <w:szCs w:val="18"/>
                <w:color w:val="auto"/>
              </w:rPr>
              <w:t>Name:</w:t>
            </w:r>
          </w:p>
        </w:tc>
        <w:tc>
          <w:tcPr>
            <w:tcW w:w="4380" w:type="dxa"/>
            <w:vAlign w:val="bottom"/>
          </w:tcPr>
          <w:p>
            <w:pPr>
              <w:ind w:left="20"/>
              <w:spacing w:after="0"/>
              <w:rPr>
                <w:sz w:val="20"/>
                <w:szCs w:val="20"/>
                <w:color w:val="auto"/>
              </w:rPr>
            </w:pPr>
            <w:r>
              <w:rPr>
                <w:rFonts w:ascii="Arial" w:cs="Arial" w:eastAsia="Arial" w:hAnsi="Arial"/>
                <w:sz w:val="18"/>
                <w:szCs w:val="18"/>
                <w:color w:val="auto"/>
              </w:rPr>
              <w:t>James Lucania</w:t>
            </w:r>
          </w:p>
        </w:tc>
      </w:tr>
      <w:tr>
        <w:trPr>
          <w:trHeight w:val="239"/>
        </w:trPr>
        <w:tc>
          <w:tcPr>
            <w:tcW w:w="3640" w:type="dxa"/>
            <w:vAlign w:val="bottom"/>
          </w:tcPr>
          <w:p>
            <w:pPr>
              <w:spacing w:after="0"/>
              <w:rPr>
                <w:sz w:val="20"/>
                <w:szCs w:val="20"/>
                <w:color w:val="auto"/>
              </w:rPr>
            </w:pPr>
          </w:p>
        </w:tc>
        <w:tc>
          <w:tcPr>
            <w:tcW w:w="3160" w:type="dxa"/>
            <w:vAlign w:val="bottom"/>
          </w:tcPr>
          <w:p>
            <w:pPr>
              <w:ind w:left="2040"/>
              <w:spacing w:after="0"/>
              <w:rPr>
                <w:sz w:val="20"/>
                <w:szCs w:val="20"/>
                <w:color w:val="auto"/>
              </w:rPr>
            </w:pPr>
            <w:r>
              <w:rPr>
                <w:rFonts w:ascii="Arial" w:cs="Arial" w:eastAsia="Arial" w:hAnsi="Arial"/>
                <w:sz w:val="18"/>
                <w:szCs w:val="18"/>
                <w:color w:val="auto"/>
              </w:rPr>
              <w:t>Title:</w:t>
            </w:r>
          </w:p>
        </w:tc>
        <w:tc>
          <w:tcPr>
            <w:tcW w:w="43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1"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HealthEquity,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 Award Agreement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Pursuant to the Performance-Based Restricted Stock Unit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Performance-Based Restricted Stock Unit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HealthEquity,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Restricted Stock Unit Award (this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under its 2024 Equity Incentive Plan, as amended and restated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target number of Restricted Stock Units indicated in the Grant Notice.</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there is any conflict between the terms in this Agreement and the Plan, the terms of the Plan will control. Capitalized terms not explicitly defined in this Agreement or in the Grant Notice but defined in the Plan will have the same definitions as in the Plan.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details of your Restricted Stock Unit Award, in addition to those set forth in the Grant Notice and the Plan, are as follows:</w:t>
      </w:r>
    </w:p>
    <w:p>
      <w:pPr>
        <w:spacing w:after="0" w:line="181" w:lineRule="exact"/>
        <w:rPr>
          <w:sz w:val="20"/>
          <w:szCs w:val="20"/>
          <w:color w:val="auto"/>
        </w:rPr>
      </w:pPr>
    </w:p>
    <w:p>
      <w:pPr>
        <w:jc w:val="both"/>
        <w:ind w:firstLine="656"/>
        <w:spacing w:after="0" w:line="259" w:lineRule="auto"/>
        <w:tabs>
          <w:tab w:leader="none" w:pos="129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THE AWARD</w:t>
      </w:r>
      <w:r>
        <w:rPr>
          <w:rFonts w:ascii="Times New Roman" w:cs="Times New Roman" w:eastAsia="Times New Roman" w:hAnsi="Times New Roman"/>
          <w:sz w:val="18"/>
          <w:szCs w:val="18"/>
          <w:color w:val="auto"/>
        </w:rPr>
        <w:t>. This Award represents the right to be issued on a future date a number of shares of Common Stock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number of Restricted Stock Units that are earned and become vested on the applicable vesting date(s) (subject to any adjustment under Section 3 below) as indicated in the Grant Notice. As of the Date of Grant, the Company will credit to a bookkeeping account maintained by or on behalf of the Company for your benefit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the number of Restricted Stock Units subject to the Award. This Award was granted in consideration of your services to the Company.</w:t>
      </w:r>
    </w:p>
    <w:p>
      <w:pPr>
        <w:spacing w:after="0" w:line="15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Subject to the limitations contained herein, your Award will vest as provided in your Grant Notice. Vesting will cease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termination of your Continuous Service, except due to your Qualifying Retirement or a Pre-CIC Qualifying Termination. Upon such termination of your Continuous Service, except due to your Qualifying Retirement or a Pre-CIC Qualifying Termination, the Restricted Stock Units credited to the Account that were not vested on the date of such termination will be forfeited at no cost to the Company and you will have no further right, title or interest in or to such underlying shares of Common Stock.</w:t>
      </w:r>
    </w:p>
    <w:p>
      <w:pPr>
        <w:spacing w:after="0" w:line="138"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29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OF SHARES. </w:t>
      </w:r>
      <w:r>
        <w:rPr>
          <w:rFonts w:ascii="Times New Roman" w:cs="Times New Roman" w:eastAsia="Times New Roman" w:hAnsi="Times New Roman"/>
          <w:sz w:val="18"/>
          <w:szCs w:val="18"/>
          <w:color w:val="auto"/>
        </w:rPr>
        <w:t>The number of Restricted Stock Units subject to your Award may be adjusted from time to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41"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You may not be issued any shares of Common Stock under your Award unless the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underlying the Restricted Stock Units are then registered under the Securities Act or, if not registered, the Company has determined that such issuance of the shares would be exempt from the registration requirements of the Securities Act. The issuance of shares of Common Stock must also comply with all other applicable laws and regulations governing the Award, and you shall not receive such Common Stock if the Company determines that such receipt would not be in material compliance with such laws and regulations.</w:t>
      </w:r>
    </w:p>
    <w:p>
      <w:pPr>
        <w:spacing w:after="0" w:line="15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29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Prior to the time that shares of Common Stock have been delivered to you, you may not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pledge, sell or otherwise dispose of this Award or the shares issuable in respect of your Award, except as expressly provided in this Section 5. For example, you may not use shares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be issued in respect of your Restricted Stock Units as security for a loan. The restrictions on transfer set forth herein will lapse upon delivery to you of shares in respect of your vested Restricted Stock Units.</w:t>
      </w:r>
    </w:p>
    <w:p>
      <w:pPr>
        <w:spacing w:after="0" w:line="104" w:lineRule="exact"/>
        <w:rPr>
          <w:sz w:val="20"/>
          <w:szCs w:val="20"/>
          <w:color w:val="auto"/>
        </w:rPr>
      </w:pPr>
    </w:p>
    <w:p>
      <w:pPr>
        <w:jc w:val="both"/>
        <w:ind w:firstLine="1304"/>
        <w:spacing w:after="0" w:line="218" w:lineRule="auto"/>
        <w:tabs>
          <w:tab w:leader="none" w:pos="19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Upon receiving written permission from the Board or its duly authorized designee, and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you and the designated transferee enter into transfer and other agreements required by the Company, you may transfer your right to receive the distribution of Common Stock or other consideration hereunder,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Award with the Company prior to finalizing the domestic relations order or marital settlement agreement to help ensure the required information is contained within the domestic relations order or marital settlement agreement.</w:t>
      </w:r>
    </w:p>
    <w:p>
      <w:pPr>
        <w:spacing w:after="0" w:line="128"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3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Upon receiving written permission from the Board or its duly authorized designee, you may,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delivering written notice to the Company, in a form approved by the Company, designate a third party who, on your death, will thereafter be entitled to receive the shares issuable in respect of your Award. In the absence of such a designation, your executor or administrator of your estate will be entitled to receive any Common Stock or other consideration that vested but was not issued before your death.</w:t>
      </w:r>
    </w:p>
    <w:p>
      <w:pPr>
        <w:spacing w:after="0" w:line="14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DATE OF ISSUANCE.</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24" w:lineRule="auto"/>
        <w:tabs>
          <w:tab w:leader="none" w:pos="19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one or more Restricted Stock Units vest, the Company shall issue to you a number of shares of Common Stock based on the number of Restricted Stock Units that are earned and become vested as soon as administratively possible following the applicable vesting date(s) (subject to any adjustment under Section 3 above) as indicated in the Grant Notice. The issuance date determined by this paragraph is referred to as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Original Issuance Date falls on a date that is not a business day, delivery shall instead occur on the next following business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w:t>
      </w:r>
    </w:p>
    <w:p>
      <w:pPr>
        <w:spacing w:after="0" w:line="13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delivery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stock certificate or electronic entry evidencing such shares) shall be determined by the Company.</w:t>
      </w:r>
    </w:p>
    <w:p>
      <w:pPr>
        <w:spacing w:after="0" w:line="155" w:lineRule="exact"/>
        <w:rPr>
          <w:rFonts w:ascii="Times New Roman" w:cs="Times New Roman" w:eastAsia="Times New Roman" w:hAnsi="Times New Roman"/>
          <w:sz w:val="18"/>
          <w:szCs w:val="18"/>
          <w:color w:val="auto"/>
        </w:rPr>
      </w:pPr>
    </w:p>
    <w:p>
      <w:pPr>
        <w:ind w:firstLine="656"/>
        <w:spacing w:after="0" w:line="286" w:lineRule="auto"/>
        <w:tabs>
          <w:tab w:leader="none" w:pos="129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You shall receive no benefit or adjustment to your Award with respect to any cash dividend, stock dividend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that does not result from a Capitalization Adjustment.</w:t>
      </w:r>
    </w:p>
    <w:p>
      <w:pPr>
        <w:spacing w:after="0" w:line="127"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9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RESTRICTIVE LEGENDS. </w:t>
      </w:r>
      <w:r>
        <w:rPr>
          <w:rFonts w:ascii="Times New Roman" w:cs="Times New Roman" w:eastAsia="Times New Roman" w:hAnsi="Times New Roman"/>
          <w:sz w:val="18"/>
          <w:szCs w:val="18"/>
          <w:color w:val="auto"/>
        </w:rPr>
        <w:t>The shares of Common Stock issued under your Award shall be endorsed with appropriate legends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Company.</w:t>
      </w:r>
    </w:p>
    <w:p>
      <w:pPr>
        <w:spacing w:after="0" w:line="11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 NOT A SERVICE CONTRACT. </w:t>
      </w:r>
      <w:r>
        <w:rPr>
          <w:rFonts w:ascii="Times New Roman" w:cs="Times New Roman" w:eastAsia="Times New Roman" w:hAnsi="Times New Roman"/>
          <w:sz w:val="18"/>
          <w:szCs w:val="18"/>
          <w:color w:val="auto"/>
        </w:rPr>
        <w:t>This Agreement is not an employment or service contract, and nothing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deemed to create in any way whatsoever any obligation on your part to continue in the service of the Company or an Affiliate, or of the Company or an Affiliate to continue your service. In addition, nothing in this Agreement will obligate the Company or an Affiliate, their respective stockholders, boards of directors, officers or employees to continue any relationship that you might have as an employee, Director of or Consultant for the Company or an Affiliate.</w:t>
      </w:r>
    </w:p>
    <w:p>
      <w:pPr>
        <w:spacing w:after="0" w:line="138"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OBLIGATIONS.</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13" w:lineRule="auto"/>
        <w:tabs>
          <w:tab w:leader="none" w:pos="194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time you receive a distribution of the shares of Common Stock underlying your Award, and at any other time as reasonably requested by the Company in accordance with applicable tax laws, you hereby agree to make adequate provision in cash for any sums required to satisfy the federal, state, local and foreign tax withholding obligations of the Company or any Affiliate that arise in connection with your Award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measured based on the Fair Market Value of such shares of Common Stock as of the trading day immediately preceding the day shares of Common Stock are vested. In satisfaction of such Withholding Taxes and in accordance with the Sell to Cover Election included in the Grant Notice, you have irrevocably elected to sell the portion of the shares of Common Stock to be delivered underlying your Award necessary so as to satisfy the Withholding Taxes and shall execute any letter of instruction or agreement required by E*Trade Securities LLC or any other stock plan service provider or brokerage firm designated by the Company for such purposes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to cause the Agent to irrevocably commit to forward the proceeds necessary to satisfy the Withholding Taxes directly to the Company and/or its Affiliates. Notwithstanding any other provision of this Agreement, the Company shall not be obligated to deliver any new certificate representing shares of Common Stock to you or to your legal representative or enter such shares of Common Stock in book entry form unless and until you</w:t>
      </w:r>
    </w:p>
    <w:p>
      <w:pPr>
        <w:sectPr>
          <w:pgSz w:w="11900" w:h="16838" w:orient="portrait"/>
          <w:cols w:equalWidth="0" w:num="1">
            <w:col w:w="11240"/>
          </w:cols>
          <w:pgMar w:left="320" w:top="1417" w:right="339" w:bottom="1440" w:gutter="0" w:footer="0" w:header="0"/>
        </w:sectPr>
      </w:pPr>
    </w:p>
    <w:bookmarkStart w:id="40" w:name="page41"/>
    <w:bookmarkEnd w:id="40"/>
    <w:p>
      <w:pPr>
        <w:spacing w:after="0" w:line="222" w:lineRule="auto"/>
        <w:rPr>
          <w:sz w:val="20"/>
          <w:szCs w:val="20"/>
          <w:color w:val="auto"/>
        </w:rPr>
      </w:pPr>
      <w:r>
        <w:rPr>
          <w:rFonts w:ascii="Times New Roman" w:cs="Times New Roman" w:eastAsia="Times New Roman" w:hAnsi="Times New Roman"/>
          <w:sz w:val="18"/>
          <w:szCs w:val="18"/>
          <w:color w:val="auto"/>
        </w:rPr>
        <w:t>or your legal representative shall have paid or otherwise satisfied in full the amount of all federal, state, local and foreign taxes, including payroll taxes, applicable to your taxable income resulting from the grant or vesting of the Restricted Stock Units or the issuance of shares of Common Stock.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your Sell to Cover Election pursuant to the Grant Notice, you hereby acknowledge and agree:</w:t>
      </w:r>
    </w:p>
    <w:p>
      <w:pPr>
        <w:spacing w:after="0" w:line="138" w:lineRule="exact"/>
        <w:rPr>
          <w:sz w:val="20"/>
          <w:szCs w:val="20"/>
          <w:color w:val="auto"/>
        </w:rPr>
      </w:pPr>
    </w:p>
    <w:p>
      <w:pPr>
        <w:jc w:val="both"/>
        <w:ind w:firstLine="2033"/>
        <w:spacing w:after="0" w:line="258" w:lineRule="auto"/>
        <w:tabs>
          <w:tab w:leader="none" w:pos="25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irrevocably appoint the Agent as your agent and authorize the Agent to (A) sell on the open market at the then prevailing market price(s), on your behalf, as soon as practicable on or after the shares of Common Stock are issued upon the vesting of the Restricted Stock Units, that number (rounded up to the next whole number) of shares of Common Stock so issued necessary to generate proceeds to cover (x) any tax withholding obligations incurred with respect to such vesting or issuance and (y) all applicable fees and commissions due to, or required to be collected by, the Agent with respect thereto and (B) apply any remaining funds to your brokerage account.</w:t>
      </w:r>
    </w:p>
    <w:p>
      <w:pPr>
        <w:spacing w:after="0" w:line="156" w:lineRule="exact"/>
        <w:rPr>
          <w:rFonts w:ascii="Times New Roman" w:cs="Times New Roman" w:eastAsia="Times New Roman" w:hAnsi="Times New Roman"/>
          <w:sz w:val="18"/>
          <w:szCs w:val="18"/>
          <w:color w:val="auto"/>
        </w:rPr>
      </w:pPr>
    </w:p>
    <w:p>
      <w:pPr>
        <w:ind w:firstLine="2033"/>
        <w:spacing w:after="0" w:line="282" w:lineRule="auto"/>
        <w:tabs>
          <w:tab w:leader="none" w:pos="25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hereby authorize the Company and the Agent to cooperate and communicate with one another to determine the number of shares of Common Stock that must be sold pursuant to subsection (1) above.</w:t>
      </w:r>
    </w:p>
    <w:p>
      <w:pPr>
        <w:spacing w:after="0" w:line="121" w:lineRule="exact"/>
        <w:rPr>
          <w:rFonts w:ascii="Times New Roman" w:cs="Times New Roman" w:eastAsia="Times New Roman" w:hAnsi="Times New Roman"/>
          <w:sz w:val="18"/>
          <w:szCs w:val="18"/>
          <w:color w:val="auto"/>
        </w:rPr>
      </w:pPr>
    </w:p>
    <w:p>
      <w:pPr>
        <w:jc w:val="both"/>
        <w:ind w:firstLine="2033"/>
        <w:spacing w:after="0" w:line="255" w:lineRule="auto"/>
        <w:tabs>
          <w:tab w:leader="none" w:pos="25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the Agent may effect sales as provided in subsection (1) above in one or more sales and that the average price for executions resulting from bunched orders will be assigned to your account. In addition, you acknowledge that it may not be possible to sell shares of Common Stock as provided by subsection (1) above due to (A) a legal or contractual restriction applicable to you or the Agent, (B) a market disruption, or (C) rules governing order execution priority on the national exchange where the shares of Common Stock may be traded. In the event of the Agent’s inability to sell shares of Common Stock, you will continue to be responsible for the timely payment to the Company and/or its Affiliates of all federal, state, local and foreign taxes that are required by applicable laws and regulations to be withheld, including but not limited to those amounts specified in subsection (1) above.</w:t>
      </w:r>
    </w:p>
    <w:p>
      <w:pPr>
        <w:spacing w:after="0" w:line="148" w:lineRule="exact"/>
        <w:rPr>
          <w:rFonts w:ascii="Times New Roman" w:cs="Times New Roman" w:eastAsia="Times New Roman" w:hAnsi="Times New Roman"/>
          <w:sz w:val="18"/>
          <w:szCs w:val="18"/>
          <w:color w:val="auto"/>
        </w:rPr>
      </w:pPr>
    </w:p>
    <w:p>
      <w:pPr>
        <w:jc w:val="both"/>
        <w:ind w:firstLine="2033"/>
        <w:spacing w:after="0" w:line="266" w:lineRule="auto"/>
        <w:tabs>
          <w:tab w:leader="none" w:pos="25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regardless of any other term or condition of this Section 10(a), the Agent will not be liable to you for (A) special, indirect, punitive, exemplary, or consequential damages, or incidental losses or damages of any kind, or (B) any failure to perform or for any delay in performance that results from a cause or circumstance that is beyond its reasonable control.</w:t>
      </w:r>
    </w:p>
    <w:p>
      <w:pPr>
        <w:spacing w:after="0" w:line="148" w:lineRule="exact"/>
        <w:rPr>
          <w:rFonts w:ascii="Times New Roman" w:cs="Times New Roman" w:eastAsia="Times New Roman" w:hAnsi="Times New Roman"/>
          <w:sz w:val="18"/>
          <w:szCs w:val="18"/>
          <w:color w:val="auto"/>
        </w:rPr>
      </w:pPr>
    </w:p>
    <w:p>
      <w:pPr>
        <w:ind w:right="20" w:firstLine="2033"/>
        <w:spacing w:after="0" w:line="282" w:lineRule="auto"/>
        <w:tabs>
          <w:tab w:leader="none" w:pos="25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agree to execute and deliver to the Agent any other agreements or documents as the Agent reasonably deems necessary or appropriate to carry out the purposes and intent of this Section 10(a). The Agent is a third-party beneficiary of this Section 10(a).</w:t>
      </w:r>
    </w:p>
    <w:p>
      <w:pPr>
        <w:spacing w:after="0" w:line="121" w:lineRule="exact"/>
        <w:rPr>
          <w:rFonts w:ascii="Times New Roman" w:cs="Times New Roman" w:eastAsia="Times New Roman" w:hAnsi="Times New Roman"/>
          <w:sz w:val="18"/>
          <w:szCs w:val="18"/>
          <w:color w:val="auto"/>
        </w:rPr>
      </w:pPr>
    </w:p>
    <w:p>
      <w:pPr>
        <w:ind w:firstLine="2033"/>
        <w:spacing w:after="0" w:line="282" w:lineRule="auto"/>
        <w:tabs>
          <w:tab w:leader="none" w:pos="25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10(a) shall terminate no earlier than the date on which all tax withholding obligations arising in connection with the vesting of the Award have been satisfied.</w:t>
      </w:r>
    </w:p>
    <w:p>
      <w:pPr>
        <w:spacing w:after="0" w:line="107"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that your Sell to Cover Election cannot be effected in such manner that would be consistent with maintaining an affirmative defense under Rule 10b5-1 or consistent with applicable local law (as determined by the Company in its sole discretion), then such transactions shall not occur and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or (iii) withholding shares of Common Stock from the shares of Common Stock issued or otherwise issuable to you in connection with the Award with a Fair Market Value (measured as of the date shares of Common Stock are issued to pursuant to Section 6) equal to the amount of such Withholding Taxes; provided, however, that the number of such shares of Common Stock so withheld will not exceed the amount necessary to satisfy the Company’s required tax withholding obligations using the maximum statutory withholding rates for federal, state, local and foreign tax purposes (or such lesser amount as may be necessary to avoid classification of the Award as a liability for financial accounting purposes); and provided, further, that to the extent necessary to qualify for an exemption from application of Section 16(b) of the Exchange Act, if applicable, such share withholding procedure will be subject to the express prior approval of the Company’s Compensation Committee.</w:t>
      </w:r>
    </w:p>
    <w:p>
      <w:pPr>
        <w:spacing w:after="0" w:line="134"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tax withholding obligations of the Company and/or any Affiliate are satisfied, the Company shall have no obligation to deliver to you any shares of Common Stock.</w:t>
      </w:r>
    </w:p>
    <w:p>
      <w:pPr>
        <w:sectPr>
          <w:pgSz w:w="11900" w:h="16838" w:orient="portrait"/>
          <w:cols w:equalWidth="0" w:num="1">
            <w:col w:w="11240"/>
          </w:cols>
          <w:pgMar w:left="320" w:top="1404" w:right="339" w:bottom="1440" w:gutter="0" w:footer="0" w:header="0"/>
        </w:sectPr>
      </w:pPr>
    </w:p>
    <w:bookmarkStart w:id="41" w:name="page42"/>
    <w:bookmarkEnd w:id="41"/>
    <w:p>
      <w:pPr>
        <w:jc w:val="both"/>
        <w:ind w:left="-656" w:firstLine="1304"/>
        <w:spacing w:after="0" w:line="231" w:lineRule="auto"/>
        <w:tabs>
          <w:tab w:leader="none" w:pos="128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Company’s obligation to withhold arises prior to the delivery to you of shares of Common Stock or it is determined after the delivery of shares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27" w:lineRule="exact"/>
        <w:rPr>
          <w:rFonts w:ascii="Times New Roman" w:cs="Times New Roman" w:eastAsia="Times New Roman" w:hAnsi="Times New Roman"/>
          <w:sz w:val="18"/>
          <w:szCs w:val="18"/>
          <w:color w:val="auto"/>
        </w:rPr>
      </w:pPr>
    </w:p>
    <w:p>
      <w:pPr>
        <w:jc w:val="both"/>
        <w:ind w:left="-656" w:firstLine="656"/>
        <w:spacing w:after="0" w:line="268" w:lineRule="auto"/>
        <w:tabs>
          <w:tab w:leader="none" w:pos="62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CONSEQUENCES. </w:t>
      </w:r>
      <w:r>
        <w:rPr>
          <w:rFonts w:ascii="Times New Roman" w:cs="Times New Roman" w:eastAsia="Times New Roman" w:hAnsi="Times New Roman"/>
          <w:sz w:val="18"/>
          <w:szCs w:val="18"/>
          <w:color w:val="auto"/>
        </w:rPr>
        <w:t>You hereby agree that the Company does not have a duty to design or administer the Plan or its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programs in a manner that minimizes your tax liabilities. You will not make any claim against the Company, or any of its Officers, Directors, Employees or Affiliates related to tax liabilities arising from your Award or your other compensation.</w:t>
      </w:r>
    </w:p>
    <w:p>
      <w:pPr>
        <w:spacing w:after="0" w:line="143" w:lineRule="exact"/>
        <w:rPr>
          <w:rFonts w:ascii="Times New Roman" w:cs="Times New Roman" w:eastAsia="Times New Roman" w:hAnsi="Times New Roman"/>
          <w:sz w:val="18"/>
          <w:szCs w:val="18"/>
          <w:b w:val="1"/>
          <w:bCs w:val="1"/>
          <w:color w:val="auto"/>
        </w:rPr>
      </w:pPr>
    </w:p>
    <w:p>
      <w:pPr>
        <w:jc w:val="both"/>
        <w:ind w:left="-656" w:firstLine="656"/>
        <w:spacing w:after="0" w:line="257" w:lineRule="auto"/>
        <w:tabs>
          <w:tab w:leader="none" w:pos="63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notices provided for in your Award or the Plan will be given in writing (including electronically) and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41" w:lineRule="exact"/>
        <w:rPr>
          <w:rFonts w:ascii="Times New Roman" w:cs="Times New Roman" w:eastAsia="Times New Roman" w:hAnsi="Times New Roman"/>
          <w:sz w:val="18"/>
          <w:szCs w:val="18"/>
          <w:b w:val="1"/>
          <w:bCs w:val="1"/>
          <w:color w:val="auto"/>
        </w:rPr>
      </w:pPr>
    </w:p>
    <w:p>
      <w:pPr>
        <w:ind w:left="-656" w:firstLine="656"/>
        <w:spacing w:after="0" w:line="286" w:lineRule="auto"/>
        <w:tabs>
          <w:tab w:leader="none" w:pos="63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UNSECURED OBLIGATION. </w:t>
      </w:r>
      <w:r>
        <w:rPr>
          <w:rFonts w:ascii="Times New Roman" w:cs="Times New Roman" w:eastAsia="Times New Roman" w:hAnsi="Times New Roman"/>
          <w:sz w:val="18"/>
          <w:szCs w:val="18"/>
          <w:color w:val="auto"/>
        </w:rPr>
        <w:t>Your Award is unfunded, and as a holder of a vested Award, you shall be considered a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unsecured creditor of the Company with respect to the Company’s obligation, if any, to issue shares or other property pursuant to this Agreement.</w:t>
      </w:r>
    </w:p>
    <w:p>
      <w:pPr>
        <w:spacing w:after="0" w:line="114" w:lineRule="exact"/>
        <w:rPr>
          <w:rFonts w:ascii="Times New Roman" w:cs="Times New Roman" w:eastAsia="Times New Roman" w:hAnsi="Times New Roman"/>
          <w:sz w:val="18"/>
          <w:szCs w:val="18"/>
          <w:b w:val="1"/>
          <w:bCs w:val="1"/>
          <w:color w:val="auto"/>
        </w:rPr>
      </w:pPr>
    </w:p>
    <w:p>
      <w:pPr>
        <w:jc w:val="both"/>
        <w:ind w:left="-656" w:firstLine="656"/>
        <w:spacing w:after="0" w:line="257" w:lineRule="auto"/>
        <w:tabs>
          <w:tab w:leader="none" w:pos="63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Your Award is subject to all the provisions of the Plan, the provisions of which are hereby made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your Award, and is further subject to all interpretations, amendments, rules and regulations which may from time to time be promulgated and adopted pursuant to the Plan. If there is any conflict between the provisions of your Award and those of the Plan, the provisions of the Plan will control. In addition, your Award (and any compensation paid or shares issued under your Award) is subject to recoupment in accordance with The Dodd–Frank Wall Street Reform and Consumer Protection Act and any implementing regulations thereunder, the HealthEquity, Inc. Clawback Policy, or any other clawback policy adopted by the Company, and any compensation recovery policy otherwise required by applicable law.</w:t>
      </w:r>
    </w:p>
    <w:p>
      <w:pPr>
        <w:spacing w:after="0" w:line="155" w:lineRule="exact"/>
        <w:rPr>
          <w:rFonts w:ascii="Times New Roman" w:cs="Times New Roman" w:eastAsia="Times New Roman" w:hAnsi="Times New Roman"/>
          <w:sz w:val="18"/>
          <w:szCs w:val="18"/>
          <w:b w:val="1"/>
          <w:bCs w:val="1"/>
          <w:color w:val="auto"/>
        </w:rPr>
      </w:pPr>
    </w:p>
    <w:p>
      <w:pPr>
        <w:jc w:val="both"/>
        <w:ind w:left="-656" w:firstLine="656"/>
        <w:spacing w:after="0" w:line="262" w:lineRule="auto"/>
        <w:tabs>
          <w:tab w:leader="none" w:pos="63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DOCUMENTS. </w:t>
      </w:r>
      <w:r>
        <w:rPr>
          <w:rFonts w:ascii="Times New Roman" w:cs="Times New Roman" w:eastAsia="Times New Roman" w:hAnsi="Times New Roman"/>
          <w:sz w:val="18"/>
          <w:szCs w:val="18"/>
          <w:color w:val="auto"/>
        </w:rPr>
        <w:t>You hereby acknowledge receipt of and the right to receive a document providing the information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428(b)(1) promulgated under the Securities Act, which includes the Plan prospectus. In addition, you acknowledge receipt of the Company’s policy permitting certain individuals to sell shares only during certain “open window” periods under, and as otherwise permitted by, the Company’s insider trading policy, in effect from time to time.</w:t>
      </w:r>
    </w:p>
    <w:p>
      <w:pPr>
        <w:spacing w:after="0" w:line="135" w:lineRule="exact"/>
        <w:rPr>
          <w:rFonts w:ascii="Times New Roman" w:cs="Times New Roman" w:eastAsia="Times New Roman" w:hAnsi="Times New Roman"/>
          <w:sz w:val="18"/>
          <w:szCs w:val="18"/>
          <w:b w:val="1"/>
          <w:bCs w:val="1"/>
          <w:color w:val="auto"/>
        </w:rPr>
      </w:pPr>
    </w:p>
    <w:p>
      <w:pPr>
        <w:jc w:val="both"/>
        <w:ind w:left="-656" w:firstLine="656"/>
        <w:spacing w:after="0" w:line="262" w:lineRule="auto"/>
        <w:tabs>
          <w:tab w:leader="none" w:pos="63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this Award will not be included as compensation, earnings,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35" w:lineRule="exact"/>
        <w:rPr>
          <w:rFonts w:ascii="Times New Roman" w:cs="Times New Roman" w:eastAsia="Times New Roman" w:hAnsi="Times New Roman"/>
          <w:sz w:val="18"/>
          <w:szCs w:val="18"/>
          <w:b w:val="1"/>
          <w:bCs w:val="1"/>
          <w:color w:val="auto"/>
        </w:rPr>
      </w:pPr>
    </w:p>
    <w:p>
      <w:pPr>
        <w:jc w:val="both"/>
        <w:ind w:left="-656" w:firstLine="656"/>
        <w:spacing w:after="0" w:line="262" w:lineRule="auto"/>
        <w:tabs>
          <w:tab w:leader="none" w:pos="63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You will not have voting or any other rights as a stockholder of the Company with respect to the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to be issued pursuant to this Award until such shares are issued to you. Upon such issuance, you will obtain full voting and other rights as a stockholder of the Company. Nothing contained in this Award, and no action taken pursuant to its provisions, will create or be construed to create a trust of any kind or a fiduciary relationship between you and the Company or any other person.</w:t>
      </w:r>
    </w:p>
    <w:p>
      <w:pPr>
        <w:spacing w:after="0" w:line="149" w:lineRule="exact"/>
        <w:rPr>
          <w:rFonts w:ascii="Times New Roman" w:cs="Times New Roman" w:eastAsia="Times New Roman" w:hAnsi="Times New Roman"/>
          <w:sz w:val="18"/>
          <w:szCs w:val="18"/>
          <w:b w:val="1"/>
          <w:bCs w:val="1"/>
          <w:color w:val="auto"/>
        </w:rPr>
      </w:pPr>
    </w:p>
    <w:p>
      <w:pPr>
        <w:jc w:val="both"/>
        <w:ind w:left="-656" w:firstLine="656"/>
        <w:spacing w:after="0" w:line="262" w:lineRule="auto"/>
        <w:tabs>
          <w:tab w:leader="none" w:pos="63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all or any part of this Agreement or the Plan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will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ectPr>
          <w:pgSz w:w="11900" w:h="16838" w:orient="portrait"/>
          <w:cols w:equalWidth="0" w:num="1">
            <w:col w:w="10584"/>
          </w:cols>
          <w:pgMar w:left="976" w:top="1404" w:right="339" w:bottom="1440" w:gutter="0" w:footer="0" w:header="0"/>
        </w:sectPr>
      </w:pPr>
    </w:p>
    <w:bookmarkStart w:id="42" w:name="page43"/>
    <w:bookmarkEnd w:id="42"/>
    <w:p>
      <w:pPr>
        <w:ind w:left="1300" w:hanging="644"/>
        <w:spacing w:after="0"/>
        <w:tabs>
          <w:tab w:leader="none" w:pos="13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88"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9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the Company under your Award will be transferable to any one or more persons or entities, and all covenants and agreements hereunder will inure to the benefit of, and be enforceable by, the Company’s successors and assigns.</w:t>
      </w:r>
    </w:p>
    <w:p>
      <w:pPr>
        <w:spacing w:after="0" w:line="134" w:lineRule="exact"/>
        <w:rPr>
          <w:rFonts w:ascii="Times New Roman" w:cs="Times New Roman" w:eastAsia="Times New Roman" w:hAnsi="Times New Roman"/>
          <w:sz w:val="18"/>
          <w:szCs w:val="18"/>
          <w:color w:val="auto"/>
        </w:rPr>
      </w:pPr>
    </w:p>
    <w:p>
      <w:pPr>
        <w:ind w:right="20" w:firstLine="1304"/>
        <w:spacing w:after="0" w:line="282" w:lineRule="auto"/>
        <w:tabs>
          <w:tab w:leader="none" w:pos="193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Award.</w:t>
      </w:r>
    </w:p>
    <w:p>
      <w:pPr>
        <w:spacing w:after="0" w:line="121" w:lineRule="exact"/>
        <w:rPr>
          <w:rFonts w:ascii="Times New Roman" w:cs="Times New Roman" w:eastAsia="Times New Roman" w:hAnsi="Times New Roman"/>
          <w:sz w:val="18"/>
          <w:szCs w:val="18"/>
          <w:color w:val="auto"/>
        </w:rPr>
      </w:pPr>
    </w:p>
    <w:p>
      <w:pPr>
        <w:ind w:firstLine="1304"/>
        <w:spacing w:after="0" w:line="282" w:lineRule="auto"/>
        <w:tabs>
          <w:tab w:leader="none" w:pos="19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21" w:lineRule="exact"/>
        <w:rPr>
          <w:rFonts w:ascii="Times New Roman" w:cs="Times New Roman" w:eastAsia="Times New Roman" w:hAnsi="Times New Roman"/>
          <w:sz w:val="18"/>
          <w:szCs w:val="18"/>
          <w:color w:val="auto"/>
        </w:rPr>
      </w:pPr>
    </w:p>
    <w:p>
      <w:pPr>
        <w:ind w:firstLine="1304"/>
        <w:spacing w:after="0" w:line="282" w:lineRule="auto"/>
        <w:tabs>
          <w:tab w:leader="none" w:pos="193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subject to all applicable laws, rules, and regulations, and to such approvals by any governmental agencies or national securities exchanges as may be required.</w:t>
      </w:r>
    </w:p>
    <w:p>
      <w:pPr>
        <w:spacing w:after="0" w:line="13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Company under the Plan and this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62" w:lineRule="exact"/>
        <w:rPr>
          <w:rFonts w:ascii="Times New Roman" w:cs="Times New Roman" w:eastAsia="Times New Roman" w:hAnsi="Times New Roman"/>
          <w:sz w:val="18"/>
          <w:szCs w:val="18"/>
          <w:color w:val="auto"/>
        </w:rPr>
      </w:pPr>
    </w:p>
    <w:p>
      <w:pPr>
        <w:ind w:left="5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Performance-Based Restricted Stock Unit Award Agreement will be deemed to be signed by you upon the signing by you of the Performance-Based Restricted Stock Unit Notice to which it is attached.</w:t>
      </w:r>
    </w:p>
    <w:p>
      <w:pPr>
        <w:sectPr>
          <w:pgSz w:w="11900" w:h="16838" w:orient="portrait"/>
          <w:cols w:equalWidth="0" w:num="1">
            <w:col w:w="11240"/>
          </w:cols>
          <w:pgMar w:left="320" w:top="1413"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attached)</w:t>
      </w:r>
    </w:p>
    <w:p>
      <w:pPr>
        <w:sectPr>
          <w:pgSz w:w="11900" w:h="16838" w:orient="portrait"/>
          <w:cols w:equalWidth="0" w:num="1">
            <w:col w:w="9019"/>
          </w:cols>
          <w:pgMar w:left="1440" w:top="1413"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HEALTHEQUITY, INC.</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Pursuant to the Restricted Stock Unit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Restricted Stock Unit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HealthEquity,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Restricted Stock Unit Award (this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under its 2024 Equity Incentive Plan, as amended and restated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indicated in the Grant Notice.</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there is any conflict between the terms in this Agreement and the Plan, the terms of the Plan will control. Capitalized terms not explicitly defined in this Agreement or in the Grant Notice but defined in the Plan will have the same definitions as in the Plan.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details of your Restricted Stock Unit Award, in addition to those set forth in the Grant Notice and the Plan, are as follows:</w:t>
      </w:r>
    </w:p>
    <w:p>
      <w:pPr>
        <w:spacing w:after="0" w:line="181" w:lineRule="exact"/>
        <w:rPr>
          <w:sz w:val="20"/>
          <w:szCs w:val="20"/>
          <w:color w:val="auto"/>
        </w:rPr>
      </w:pPr>
    </w:p>
    <w:p>
      <w:pPr>
        <w:jc w:val="both"/>
        <w:ind w:firstLine="656"/>
        <w:spacing w:after="0" w:line="262" w:lineRule="auto"/>
        <w:tabs>
          <w:tab w:leader="none" w:pos="129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THE AWARD. </w:t>
      </w:r>
      <w:r>
        <w:rPr>
          <w:rFonts w:ascii="Times New Roman" w:cs="Times New Roman" w:eastAsia="Times New Roman" w:hAnsi="Times New Roman"/>
          <w:sz w:val="18"/>
          <w:szCs w:val="18"/>
          <w:color w:val="auto"/>
        </w:rPr>
        <w:t>This Award represents the right to be issued on a future date one (1) share of Common Stock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 that vests on the applicable vesting date(s) (subject to any adjustment under Section 3 below) as indicated in the Grant Notice. As of the Date of Grant, the Company will credit to a bookkeeping account maintained by or on behalf of the Company for your benefit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the number of Restricted Stock Units subject to the Award. This Award was granted in consideration of your services to the Company.</w:t>
      </w:r>
    </w:p>
    <w:p>
      <w:pPr>
        <w:spacing w:after="0" w:line="13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Subject to the limitations contained herein, your Award will vest as provided in your Grant Notice. Vesting will cease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termination of your Continuous Service (after giving effect to any accelerated vesting provided in the Grant Notice). Upon such termination of your Continuous Service, the Restricted Stock Units credited to the Account that were not vested on the date of such termination (after giving effect to any accelerated vesting provided in the Grant Notice) will be forfeited at no cost to the Company and you will have no further right, title or interest in or to such underlying shares of Common Stock.</w:t>
      </w:r>
    </w:p>
    <w:p>
      <w:pPr>
        <w:spacing w:after="0" w:line="152"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29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OF SHARES. </w:t>
      </w:r>
      <w:r>
        <w:rPr>
          <w:rFonts w:ascii="Times New Roman" w:cs="Times New Roman" w:eastAsia="Times New Roman" w:hAnsi="Times New Roman"/>
          <w:sz w:val="18"/>
          <w:szCs w:val="18"/>
          <w:color w:val="auto"/>
        </w:rPr>
        <w:t>The number of Restricted Stock Units subject to your Award may be adjusted from time to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41"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You may not be issued any shares of Common Stock under your Award unless the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underlying the Restricted Stock Units are then registered under the Securities Act or, if not registered, the Company has determined that such issuance of the shares would be exempt from the registration requirements of the Securities Act. The issuance of shares of Common Stock must also comply with all other applicable laws and regulations governing the Award, and you shall not receive such Common Stock if the Company determines that such receipt would not be in material compliance with such laws and regulations.</w:t>
      </w:r>
    </w:p>
    <w:p>
      <w:pPr>
        <w:spacing w:after="0" w:line="138"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9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Prior to the time that shares of Common Stock have been delivered to you, you may not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ectPr>
          <w:pgSz w:w="11900" w:h="16838" w:orient="portrait"/>
          <w:cols w:equalWidth="0" w:num="1">
            <w:col w:w="11240"/>
          </w:cols>
          <w:pgMar w:left="320" w:top="1413" w:right="339" w:bottom="1440" w:gutter="0" w:footer="0" w:header="0"/>
        </w:sectPr>
      </w:pPr>
    </w:p>
    <w:bookmarkStart w:id="45" w:name="page46"/>
    <w:bookmarkEnd w:id="45"/>
    <w:p>
      <w:pPr>
        <w:jc w:val="both"/>
        <w:ind w:firstLine="1304"/>
        <w:spacing w:after="0" w:line="218" w:lineRule="auto"/>
        <w:tabs>
          <w:tab w:leader="none" w:pos="194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Upon receiving written permission from the Board or its duly authorized designee, and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you and the designated transferee enter into transfer and other agreements required by the Company, you may transfer your right to receive the distribution of Common Stock or other consideration hereunder,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Award with the Company prior to finalizing the domestic relations order or marital settlement agreement to help ensure the required information is contained within the domestic relations order or marital settlement agreement.</w:t>
      </w:r>
    </w:p>
    <w:p>
      <w:pPr>
        <w:spacing w:after="0" w:line="128"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3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Upon receiving written permission from the Board or its duly authorized designee, you may,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delivering written notice to the Company, in a form approved by the Company, designate a third party who, on your death, will thereafter be entitled to receive the shares issuable in respect of your Award. In the absence of such a designation, your executor or administrator of your estate will be entitled to receive any Common Stock or other consideration that vested but was not issued before your death.</w:t>
      </w:r>
    </w:p>
    <w:p>
      <w:pPr>
        <w:spacing w:after="0" w:line="12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DATE OF ISSUANCE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20" w:lineRule="auto"/>
        <w:tabs>
          <w:tab w:leader="none" w:pos="194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one or more Restricted Stock Units vest (whether on a scheduled vesting date or upon an accelerated vesting event described in the Grant Notice), the Company shall issue to you one (1) share of Common Stock for each Restricted Stock Unit that vests as soon as administratively possible following the applicable vesting date(s) or, in the case of accelerated vesting, subject to the Release Condition, as soon as administratively possible following the date on which the Release Condition is satisfied (subject to any adjustment under Section 3 above) as indicated in the Grant Notice. The issuance date determined by this paragraph is referred to as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Original Issuance Date falls on a date that is not a business day, delivery shall instead occur on the next following business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w:t>
      </w:r>
    </w:p>
    <w:p>
      <w:pPr>
        <w:spacing w:after="0" w:line="13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delivery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stock certificate or electronic entry evidencing such shares) shall be determined by the Company.</w:t>
      </w:r>
    </w:p>
    <w:p>
      <w:pPr>
        <w:spacing w:after="0" w:line="155" w:lineRule="exact"/>
        <w:rPr>
          <w:rFonts w:ascii="Times New Roman" w:cs="Times New Roman" w:eastAsia="Times New Roman" w:hAnsi="Times New Roman"/>
          <w:sz w:val="18"/>
          <w:szCs w:val="18"/>
          <w:color w:val="auto"/>
        </w:rPr>
      </w:pPr>
    </w:p>
    <w:p>
      <w:pPr>
        <w:ind w:firstLine="656"/>
        <w:spacing w:after="0" w:line="286" w:lineRule="auto"/>
        <w:tabs>
          <w:tab w:leader="none" w:pos="129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You shall receive no benefit or adjustment to your Award with respect to any cash dividend, stock dividend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that does not result from a Capitalization Adjustment.</w:t>
      </w:r>
    </w:p>
    <w:p>
      <w:pPr>
        <w:spacing w:after="0" w:line="127"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9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RESTRICTIVE LEGENDS. </w:t>
      </w:r>
      <w:r>
        <w:rPr>
          <w:rFonts w:ascii="Times New Roman" w:cs="Times New Roman" w:eastAsia="Times New Roman" w:hAnsi="Times New Roman"/>
          <w:sz w:val="18"/>
          <w:szCs w:val="18"/>
          <w:color w:val="auto"/>
        </w:rPr>
        <w:t>The shares of Common Stock issued under your Award shall be endorsed with appropriate legends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Company.</w:t>
      </w:r>
    </w:p>
    <w:p>
      <w:pPr>
        <w:spacing w:after="0" w:line="11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 NOT A SERVICE CONTRACT. </w:t>
      </w:r>
      <w:r>
        <w:rPr>
          <w:rFonts w:ascii="Times New Roman" w:cs="Times New Roman" w:eastAsia="Times New Roman" w:hAnsi="Times New Roman"/>
          <w:sz w:val="18"/>
          <w:szCs w:val="18"/>
          <w:color w:val="auto"/>
        </w:rPr>
        <w:t>This Agreement is not an employment or service contract, and nothing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deemed to create in any way whatsoever any obligation on your part to continue in the service of the Company or an Affiliate, or of the Company or an Affiliate to continue your service. In addition, nothing in this Agreement will obligate the Company or an Affiliate, their respective stockholders, boards of directors, officers or employees to continue any relationship that you might have as an employee, Director of or Consultant for the Company or an Affiliate.</w:t>
      </w:r>
    </w:p>
    <w:p>
      <w:pPr>
        <w:spacing w:after="0" w:line="138"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OBLIGATIONS.</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13" w:lineRule="auto"/>
        <w:tabs>
          <w:tab w:leader="none" w:pos="194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time you receive a distribution of the shares of Common Stock underlying your Award, and at any other time as reasonably requested by the Company in accordance with applicable tax laws, you hereby agree to make adequate provision in cash for any sums required to satisfy the federal, state, local and foreign tax withholding obligations of the Company or any Affiliate that arise in connection with your Award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measured based on the Fair Market Value of such shares of Common Stock as of the trading day immediately preceding the day shares of Common Stock are vested. In satisfaction of such Withholding Taxes and in accordance with the Sell to Cover Election included in the Grant Notice, you have irrevocably elected to sell the portion of the shares of Common Stock to be delivered underlying your Award necessary so as to satisfy the Withholding Taxes and shall execute any letter of instruction or agreement required by E*Trade Securities LLC or any other stock plan service provider or brokerage firm designated by the Company for such purposes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to cause the Agent to irrevocably commit to forward the proceeds necessary to satisfy the Withholding Taxes directly to the Company and/or its Affiliates. Notwithstanding any other provision of this Agreement, the Company shall not be obligated to deliver any new certificate representing shares of Common Stock to you or to your legal representative or enter such shares of Common Stock in book entry form unless and until you or your legal representative shall have paid or otherwise satisfied in full the amount of all federal, state, local and</w:t>
      </w:r>
    </w:p>
    <w:p>
      <w:pPr>
        <w:sectPr>
          <w:pgSz w:w="11900" w:h="16838" w:orient="portrait"/>
          <w:cols w:equalWidth="0" w:num="1">
            <w:col w:w="11240"/>
          </w:cols>
          <w:pgMar w:left="320" w:top="1400" w:right="339" w:bottom="1440" w:gutter="0" w:footer="0" w:header="0"/>
        </w:sectPr>
      </w:pPr>
    </w:p>
    <w:bookmarkStart w:id="46" w:name="page47"/>
    <w:bookmarkEnd w:id="46"/>
    <w:p>
      <w:pPr>
        <w:spacing w:after="0" w:line="237" w:lineRule="auto"/>
        <w:rPr>
          <w:sz w:val="20"/>
          <w:szCs w:val="20"/>
          <w:color w:val="auto"/>
        </w:rPr>
      </w:pPr>
      <w:r>
        <w:rPr>
          <w:rFonts w:ascii="Times New Roman" w:cs="Times New Roman" w:eastAsia="Times New Roman" w:hAnsi="Times New Roman"/>
          <w:sz w:val="18"/>
          <w:szCs w:val="18"/>
          <w:color w:val="auto"/>
        </w:rPr>
        <w:t>foreign taxes, including payroll taxes, applicable to your taxable income resulting from the grant or vesting of the Restricted Stock Units or the issuance of shares of Common Stock. In accordance with your Sell to Cover Election pursuant to the Grant Notice, you hereby acknowledge and agree:</w:t>
      </w:r>
    </w:p>
    <w:p>
      <w:pPr>
        <w:spacing w:after="0" w:line="145" w:lineRule="exact"/>
        <w:rPr>
          <w:sz w:val="20"/>
          <w:szCs w:val="20"/>
          <w:color w:val="auto"/>
        </w:rPr>
      </w:pPr>
    </w:p>
    <w:p>
      <w:pPr>
        <w:jc w:val="both"/>
        <w:ind w:firstLine="1952"/>
        <w:spacing w:after="0" w:line="258" w:lineRule="auto"/>
        <w:tabs>
          <w:tab w:leader="none" w:pos="25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irrevocably appoint the Agent as your agent and authorize the Agent to (A) sell on the open market at the then prevailing market price(s), on your behalf, as soon as practicable on or after the shares of Common Stock are issued upon the vesting of the Restricted Stock Units, that number (rounded up to the next whole number) of shares of Common Stock so issued necessary to generate proceeds to cover (x) any tax withholding obligations incurred with respect to such vesting or issuance and (y) all applicable fees and commissions due to, or required to be collected by, the Agent with respect thereto and (B) apply any remaining funds to your brokerage account.</w:t>
      </w:r>
    </w:p>
    <w:p>
      <w:pPr>
        <w:spacing w:after="0" w:line="142" w:lineRule="exact"/>
        <w:rPr>
          <w:rFonts w:ascii="Times New Roman" w:cs="Times New Roman" w:eastAsia="Times New Roman" w:hAnsi="Times New Roman"/>
          <w:sz w:val="18"/>
          <w:szCs w:val="18"/>
          <w:color w:val="auto"/>
        </w:rPr>
      </w:pPr>
    </w:p>
    <w:p>
      <w:pPr>
        <w:ind w:firstLine="1952"/>
        <w:spacing w:after="0" w:line="282" w:lineRule="auto"/>
        <w:tabs>
          <w:tab w:leader="none" w:pos="25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authorize the Company and the Agent to cooperate and communicate with one another to determine the number of shares of Common Stock that must be sold pursuant to subsection (1) above.</w:t>
      </w:r>
    </w:p>
    <w:p>
      <w:pPr>
        <w:spacing w:after="0" w:line="134" w:lineRule="exact"/>
        <w:rPr>
          <w:rFonts w:ascii="Times New Roman" w:cs="Times New Roman" w:eastAsia="Times New Roman" w:hAnsi="Times New Roman"/>
          <w:sz w:val="18"/>
          <w:szCs w:val="18"/>
          <w:color w:val="auto"/>
        </w:rPr>
      </w:pPr>
    </w:p>
    <w:p>
      <w:pPr>
        <w:jc w:val="both"/>
        <w:ind w:firstLine="1952"/>
        <w:spacing w:after="0" w:line="255" w:lineRule="auto"/>
        <w:tabs>
          <w:tab w:leader="none" w:pos="25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the Agent may effect sales as provided in subsection (1) above in one or more sales and that the average price for executions resulting from bunched orders will be assigned to your account. In addition, you acknowledge that it may not be possible to sell shares of Common Stock as provided by subsection (1) above due to (A) a legal or contractual restriction applicable to you or the Agent, (B) a market disruption, or (C) rules governing order execution priority on the national exchange where the shares of Common Stock may be traded. In the event of the Agent’s inability to sell shares of Common Stock, you will continue to be responsible for the timely payment to the Company and/or its Affiliates of all federal, state, local and foreign taxes that are required by applicable laws and regulations to be withheld, including but not limited to those amounts specified in subsection (1) above.</w:t>
      </w:r>
    </w:p>
    <w:p>
      <w:pPr>
        <w:spacing w:after="0" w:line="14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regardless of any other term or condition of this Section 10(a), the Agent will not be liable to you for (A) special, indirect, punitive, exemplary, or consequential damages, or incidental losses or damages of any kind, or (B) any failure to perform or for any delay in performance that results from a cause or circumstance that is beyond its reasonable control.</w:t>
      </w:r>
    </w:p>
    <w:p>
      <w:pPr>
        <w:spacing w:after="0" w:line="135" w:lineRule="exact"/>
        <w:rPr>
          <w:rFonts w:ascii="Times New Roman" w:cs="Times New Roman" w:eastAsia="Times New Roman" w:hAnsi="Times New Roman"/>
          <w:sz w:val="18"/>
          <w:szCs w:val="18"/>
          <w:color w:val="auto"/>
        </w:rPr>
      </w:pPr>
    </w:p>
    <w:p>
      <w:pPr>
        <w:ind w:right="20" w:firstLine="1952"/>
        <w:spacing w:after="0" w:line="282" w:lineRule="auto"/>
        <w:tabs>
          <w:tab w:leader="none" w:pos="25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agree to execute and deliver to the Agent any other agreements or documents as the Agent reasonably deems necessary or appropriate to carry out the purposes and intent of this Section 10(a). The Agent is a third-party beneficiary of this Section 10(a).</w:t>
      </w:r>
    </w:p>
    <w:p>
      <w:pPr>
        <w:spacing w:after="0" w:line="134" w:lineRule="exact"/>
        <w:rPr>
          <w:rFonts w:ascii="Times New Roman" w:cs="Times New Roman" w:eastAsia="Times New Roman" w:hAnsi="Times New Roman"/>
          <w:sz w:val="18"/>
          <w:szCs w:val="18"/>
          <w:color w:val="auto"/>
        </w:rPr>
      </w:pPr>
    </w:p>
    <w:p>
      <w:pPr>
        <w:ind w:firstLine="1952"/>
        <w:spacing w:after="0" w:line="282" w:lineRule="auto"/>
        <w:tabs>
          <w:tab w:leader="none" w:pos="25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10(a) shall terminate no earlier than the date on which all tax withholding obligations arising in connection with the vesting of the Award have been satisfied.</w:t>
      </w:r>
    </w:p>
    <w:p>
      <w:pPr>
        <w:spacing w:after="0" w:line="107"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that your Sell to Cover Election cannot be effected in such manner that would be consistent with maintaining an affirmative defense under Rule 10b5-1 or consistent with applicable local law (as determined by the Company in its sole discretion), then such transactions shall not occur and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or (iii) withholding shares of Common Stock from the shares of Common Stock issued or otherwise issuable to you in connection with the Award with a Fair Market Value (measured as of the date shares of Common Stock are issued to pursuant to Section 6) equal to the amount of such Withholding Taxes; provided, however, that the number of such shares of Common Stock so withheld will not exceed the amount necessary to satisfy the Company’s required tax withholding obligations using the maximum statutory withholding rates for federal, state, local and foreign tax purposes (or such lesser amount as may be necessary to avoid classification of the Award as a liability for financial accounting purposes); and provided, further, that to the extent necessary to qualify for an exemption from application of Section 16(b) of the Exchange Act, if applicable, such share withholding procedure will be subject to the express prior approval of the Company’s Compensation Committee.</w:t>
      </w:r>
    </w:p>
    <w:p>
      <w:pPr>
        <w:spacing w:after="0" w:line="120" w:lineRule="exact"/>
        <w:rPr>
          <w:rFonts w:ascii="Times New Roman" w:cs="Times New Roman" w:eastAsia="Times New Roman" w:hAnsi="Times New Roman"/>
          <w:sz w:val="18"/>
          <w:szCs w:val="18"/>
          <w:color w:val="auto"/>
        </w:rPr>
      </w:pPr>
    </w:p>
    <w:p>
      <w:pPr>
        <w:ind w:firstLine="1304"/>
        <w:spacing w:after="0" w:line="250" w:lineRule="auto"/>
        <w:tabs>
          <w:tab w:leader="none" w:pos="19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tax withholding obligations of the Company and/or any Affiliate are satisfied, the Company shall have no obligation to deliver to you any shares of Common Stock.</w:t>
      </w:r>
    </w:p>
    <w:p>
      <w:pPr>
        <w:spacing w:after="0" w:line="108" w:lineRule="exact"/>
        <w:rPr>
          <w:rFonts w:ascii="Times New Roman" w:cs="Times New Roman" w:eastAsia="Times New Roman" w:hAnsi="Times New Roman"/>
          <w:sz w:val="18"/>
          <w:szCs w:val="18"/>
          <w:color w:val="auto"/>
        </w:rPr>
      </w:pPr>
    </w:p>
    <w:p>
      <w:pPr>
        <w:ind w:firstLine="1304"/>
        <w:spacing w:after="0" w:line="250"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Company’s obligation to withhold arises prior to the delivery to you of shares of Common Stock or it is determined after the delivery of shares of Common Stock to you that the amount of</w:t>
      </w:r>
    </w:p>
    <w:p>
      <w:pPr>
        <w:sectPr>
          <w:pgSz w:w="11900" w:h="16838" w:orient="portrait"/>
          <w:cols w:equalWidth="0" w:num="1">
            <w:col w:w="11240"/>
          </w:cols>
          <w:pgMar w:left="320" w:top="1404" w:right="339" w:bottom="1440" w:gutter="0" w:footer="0" w:header="0"/>
        </w:sectPr>
      </w:pPr>
    </w:p>
    <w:bookmarkStart w:id="47" w:name="page48"/>
    <w:bookmarkEnd w:id="47"/>
    <w:p>
      <w:pPr>
        <w:spacing w:after="0" w:line="237" w:lineRule="auto"/>
        <w:rPr>
          <w:sz w:val="20"/>
          <w:szCs w:val="20"/>
          <w:color w:val="auto"/>
        </w:rPr>
      </w:pPr>
      <w:r>
        <w:rPr>
          <w:rFonts w:ascii="Times New Roman" w:cs="Times New Roman" w:eastAsia="Times New Roman" w:hAnsi="Times New Roman"/>
          <w:sz w:val="18"/>
          <w:szCs w:val="18"/>
          <w:color w:val="auto"/>
        </w:rPr>
        <w:t>the Company’s withholding obligation was greater than the amount withheld by the Company, you agree to indemnify and hold the Company harmless from any failure by the Company to withhold the proper amount.</w:t>
      </w:r>
    </w:p>
    <w:p>
      <w:pPr>
        <w:spacing w:after="0" w:line="141" w:lineRule="exact"/>
        <w:rPr>
          <w:sz w:val="20"/>
          <w:szCs w:val="20"/>
          <w:color w:val="auto"/>
        </w:rPr>
      </w:pPr>
    </w:p>
    <w:p>
      <w:pPr>
        <w:jc w:val="both"/>
        <w:ind w:firstLine="656"/>
        <w:spacing w:after="0" w:line="268" w:lineRule="auto"/>
        <w:tabs>
          <w:tab w:leader="none" w:pos="128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CONSEQUENCES. </w:t>
      </w:r>
      <w:r>
        <w:rPr>
          <w:rFonts w:ascii="Times New Roman" w:cs="Times New Roman" w:eastAsia="Times New Roman" w:hAnsi="Times New Roman"/>
          <w:sz w:val="18"/>
          <w:szCs w:val="18"/>
          <w:color w:val="auto"/>
        </w:rPr>
        <w:t>You hereby agree that the Company does not have a duty to design or administer the Plan or its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programs in a manner that minimizes your tax liabilities. You will not make any claim against the Company, or any of its Officers, Directors, Employees or Affiliates related to tax liabilities arising from your Award or your other compensation.</w:t>
      </w:r>
    </w:p>
    <w:p>
      <w:pPr>
        <w:spacing w:after="0" w:line="13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29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notices provided for in your Award or the Plan will be given in writing (including electronically) and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5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9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UNSECURED OBLIGATION. </w:t>
      </w:r>
      <w:r>
        <w:rPr>
          <w:rFonts w:ascii="Times New Roman" w:cs="Times New Roman" w:eastAsia="Times New Roman" w:hAnsi="Times New Roman"/>
          <w:sz w:val="18"/>
          <w:szCs w:val="18"/>
          <w:color w:val="auto"/>
        </w:rPr>
        <w:t>Your Award is unfunded, and as a holder of a vested Award, you shall be considered a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unsecured creditor of the Company with respect to the Company’s obligation, if any, to issue shares or other property pursuant to this Agreement.</w:t>
      </w:r>
    </w:p>
    <w:p>
      <w:pPr>
        <w:spacing w:after="0" w:line="114"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29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Your Award is subject to all the provisions of the Plan, the provisions of which are hereby made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your Award, and is further subject to all interpretations, amendments, rules and regulations which may from time to time be promulgated and adopted pursuant to the Plan. If there is any conflict between the provisions of your Award and those of the Plan, the provisions of the Plan will control. In addition, your Award (and any compensation paid or shares issued under your Award) is subject to recoupment in accordance with The Dodd–Frank Wall Street Reform and Consumer Protection Act and any implementing regulations thereunder, the HealthEquity, Inc. Clawback Policy, or any other clawback policy adopted by the Company, and any compensation recovery policy otherwise required by applicable law.</w:t>
      </w:r>
    </w:p>
    <w:p>
      <w:pPr>
        <w:spacing w:after="0" w:line="141"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9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DOCUMENTS. </w:t>
      </w:r>
      <w:r>
        <w:rPr>
          <w:rFonts w:ascii="Times New Roman" w:cs="Times New Roman" w:eastAsia="Times New Roman" w:hAnsi="Times New Roman"/>
          <w:sz w:val="18"/>
          <w:szCs w:val="18"/>
          <w:color w:val="auto"/>
        </w:rPr>
        <w:t>You hereby acknowledge receipt of and the right to receive a document providing the information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428(b)(1) promulgated under the Securities Act, which includes the Plan prospectus. In addition, you acknowledge receipt of the Company’s policy permitting certain individuals to sell shares only during certain “open window” periods under, and as otherwise permitted by, the Company’s insider trading policy, in effect from time to time.</w:t>
      </w:r>
    </w:p>
    <w:p>
      <w:pPr>
        <w:spacing w:after="0" w:line="14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9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this Award will not be included as compensation, earnings,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3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9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You will not have voting or any other rights as a stockholder of the Company with respect to the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to be issued pursuant to this Award until such shares are issued to you. Upon such issuance, you will obtain full voting and other rights as a stockholder of the Company. Nothing contained in this Award, and no action taken pursuant to its provisions, will create or be construed to create a trust of any kind or a fiduciary relationship between you and the Company or any other person.</w:t>
      </w:r>
    </w:p>
    <w:p>
      <w:pPr>
        <w:spacing w:after="0" w:line="13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9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all or any part of this Agreement or the Plan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will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ectPr>
          <w:pgSz w:w="11900" w:h="16838" w:orient="portrait"/>
          <w:cols w:equalWidth="0" w:num="1">
            <w:col w:w="11240"/>
          </w:cols>
          <w:pgMar w:left="320" w:top="1404" w:right="339" w:bottom="1440" w:gutter="0" w:footer="0" w:header="0"/>
        </w:sectPr>
      </w:pPr>
    </w:p>
    <w:bookmarkStart w:id="48" w:name="page49"/>
    <w:bookmarkEnd w:id="48"/>
    <w:p>
      <w:pPr>
        <w:ind w:left="1300" w:hanging="644"/>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75" w:lineRule="exact"/>
        <w:rPr>
          <w:rFonts w:ascii="Times New Roman" w:cs="Times New Roman" w:eastAsia="Times New Roman" w:hAnsi="Times New Roman"/>
          <w:sz w:val="18"/>
          <w:szCs w:val="18"/>
          <w:b w:val="1"/>
          <w:bCs w:val="1"/>
          <w:color w:val="auto"/>
        </w:rPr>
      </w:pPr>
    </w:p>
    <w:p>
      <w:pPr>
        <w:ind w:firstLine="1304"/>
        <w:spacing w:after="0" w:line="250" w:lineRule="auto"/>
        <w:tabs>
          <w:tab w:leader="none" w:pos="19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the Company under your Award will be transferable to any one or more persons or entities, and all covenants and agreements hereunder will inure to the benefit of, and be enforceable by, the Company’s successors and assigns.</w:t>
      </w:r>
    </w:p>
    <w:p>
      <w:pPr>
        <w:spacing w:after="0" w:line="108" w:lineRule="exact"/>
        <w:rPr>
          <w:rFonts w:ascii="Times New Roman" w:cs="Times New Roman" w:eastAsia="Times New Roman" w:hAnsi="Times New Roman"/>
          <w:sz w:val="18"/>
          <w:szCs w:val="18"/>
          <w:color w:val="auto"/>
        </w:rPr>
      </w:pPr>
    </w:p>
    <w:p>
      <w:pPr>
        <w:ind w:firstLine="1304"/>
        <w:spacing w:after="0" w:line="250" w:lineRule="auto"/>
        <w:tabs>
          <w:tab w:leader="none" w:pos="19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Award.</w:t>
      </w:r>
    </w:p>
    <w:p>
      <w:pPr>
        <w:spacing w:after="0" w:line="108" w:lineRule="exact"/>
        <w:rPr>
          <w:rFonts w:ascii="Times New Roman" w:cs="Times New Roman" w:eastAsia="Times New Roman" w:hAnsi="Times New Roman"/>
          <w:sz w:val="18"/>
          <w:szCs w:val="18"/>
          <w:color w:val="auto"/>
        </w:rPr>
      </w:pPr>
    </w:p>
    <w:p>
      <w:pPr>
        <w:ind w:firstLine="1304"/>
        <w:spacing w:after="0" w:line="250" w:lineRule="auto"/>
        <w:tabs>
          <w:tab w:leader="none" w:pos="19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08" w:lineRule="exact"/>
        <w:rPr>
          <w:rFonts w:ascii="Times New Roman" w:cs="Times New Roman" w:eastAsia="Times New Roman" w:hAnsi="Times New Roman"/>
          <w:sz w:val="18"/>
          <w:szCs w:val="18"/>
          <w:color w:val="auto"/>
        </w:rPr>
      </w:pPr>
    </w:p>
    <w:p>
      <w:pPr>
        <w:ind w:firstLine="1304"/>
        <w:spacing w:after="0" w:line="250" w:lineRule="auto"/>
        <w:tabs>
          <w:tab w:leader="none" w:pos="19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subject to all applicable laws, rules, and regulations, and to such approvals by any governmental agencies or national securities exchanges as may be required.</w:t>
      </w:r>
    </w:p>
    <w:p>
      <w:pPr>
        <w:spacing w:after="0" w:line="10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Company under the Plan and this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45" w:lineRule="exact"/>
        <w:rPr>
          <w:sz w:val="20"/>
          <w:szCs w:val="20"/>
          <w:color w:val="auto"/>
        </w:rPr>
      </w:pPr>
    </w:p>
    <w:p>
      <w:pPr>
        <w:jc w:val="center"/>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This Restricted Stock Unit Award Agreement will be deemed to be signed by you upon the signing by you of the Restricted Stock Unit Notice to which it is attached.</w:t>
      </w:r>
    </w:p>
    <w:p>
      <w:pPr>
        <w:sectPr>
          <w:pgSz w:w="11900" w:h="16838" w:orient="portrait"/>
          <w:cols w:equalWidth="0" w:num="1">
            <w:col w:w="11240"/>
          </w:cols>
          <w:pgMar w:left="320" w:top="1413"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Attached)</w:t>
      </w:r>
    </w:p>
    <w:p>
      <w:pPr>
        <w:sectPr>
          <w:pgSz w:w="11900" w:h="16838" w:orient="portrait"/>
          <w:cols w:equalWidth="0" w:num="1">
            <w:col w:w="9019"/>
          </w:cols>
          <w:pgMar w:left="1440" w:top="1413"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HEALTHEQUITY, INC.</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Pursuant to the Restricted Stock Unit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Restricted Stock Unit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HealthEquity,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Restricted Stock Unit Award (this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under its 2024 Equity Incentive Plan, as amended and restated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indicated in the Grant Notice.</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there is any conflict between the terms in this Agreement and the Plan, the terms of the Plan will control. Capitalized terms not explicitly defined in this Agreement or in the Grant Notice but defined in the Plan will have the same definitions as in the Plan.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details of your Restricted Stock Unit Award, in addition to those set forth in the Grant Notice and the Plan, are as follows:</w:t>
      </w:r>
    </w:p>
    <w:p>
      <w:pPr>
        <w:spacing w:after="0" w:line="181" w:lineRule="exact"/>
        <w:rPr>
          <w:sz w:val="20"/>
          <w:szCs w:val="20"/>
          <w:color w:val="auto"/>
        </w:rPr>
      </w:pPr>
    </w:p>
    <w:p>
      <w:pPr>
        <w:jc w:val="both"/>
        <w:ind w:firstLine="656"/>
        <w:spacing w:after="0" w:line="262" w:lineRule="auto"/>
        <w:tabs>
          <w:tab w:leader="none" w:pos="129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the Award. </w:t>
      </w:r>
      <w:r>
        <w:rPr>
          <w:rFonts w:ascii="Times New Roman" w:cs="Times New Roman" w:eastAsia="Times New Roman" w:hAnsi="Times New Roman"/>
          <w:sz w:val="18"/>
          <w:szCs w:val="18"/>
          <w:color w:val="auto"/>
        </w:rPr>
        <w:t>This Award represents the right to be issued on a future date one (1) share of Common Stock for each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that vests on the applicable vesting date(s) (subject to any adjustment under Section 3 below) as indicated in the Grant Notice. As of the Date of Grant, the Company will credit to a bookkeeping account maintained by or on behalf of the Company for your benefit (the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the number of Restricted Stock Units subject to the Award. This Award was granted in consideration of your services to the Company.</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Subject to the limitations contained herein, your Award will vest as provided in your Grant Notice. Vesting will cease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your Continuous Service (after giving effect to any accelerated vesting provided in the Grant Notice). Upon such termination of your Continuous Service, the Restricted Stock Units credited to the Account that were not vested on the date of such termination (after giving effect to any accelerated vesting provided in the Grant Notice) will be forfeited at no cost to the Company and you will have no further right, title or interest in or to such underlying shares of Common Stock.</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29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of Shares. </w:t>
      </w:r>
      <w:r>
        <w:rPr>
          <w:rFonts w:ascii="Times New Roman" w:cs="Times New Roman" w:eastAsia="Times New Roman" w:hAnsi="Times New Roman"/>
          <w:sz w:val="18"/>
          <w:szCs w:val="18"/>
          <w:color w:val="auto"/>
        </w:rPr>
        <w:t>The number of Restricted Stock Units subject to your Award may be adjusted from time to time for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You may not be issued any shares of Common Stock under your Award unless the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underlying the Restricted Stock Units are then registered under the Securities Act or, if not registered, the Company has determined that such issuance of the shares would be exempt from the registration requirements of the Securities Act. The issuance of shares of Common Stock must also comply with all other applicable laws and regulations governing the Award, and you shall not receive such Common Stock if the Company determines that such receipt would not be in material compliance with such laws and regulations.</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9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Prior to the time that shares of Common Stock have been delivered to you, you may not transfer, pledge, sell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ectPr>
          <w:pgSz w:w="11900" w:h="16838" w:orient="portrait"/>
          <w:cols w:equalWidth="0" w:num="1">
            <w:col w:w="11240"/>
          </w:cols>
          <w:pgMar w:left="320" w:top="1413" w:right="339" w:bottom="1440" w:gutter="0" w:footer="0" w:header="0"/>
        </w:sectPr>
      </w:pPr>
    </w:p>
    <w:bookmarkStart w:id="51" w:name="page52"/>
    <w:bookmarkEnd w:id="51"/>
    <w:p>
      <w:pPr>
        <w:jc w:val="both"/>
        <w:ind w:firstLine="1304"/>
        <w:spacing w:after="0" w:line="218" w:lineRule="auto"/>
        <w:tabs>
          <w:tab w:leader="none" w:pos="194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Upon receiving written permission from the Board or its duly authorized designee, and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you and the designated transferee enter into transfer and other agreements required by the Company, you may transfer your right to receive the distribution of Common Stock or other consideration hereunder,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Award with the Company prior to finalizing the domestic relations order or marital settlement agreement to help ensure the required information is contained within the domestic relations order or marital settlement agreement.</w:t>
      </w:r>
    </w:p>
    <w:p>
      <w:pPr>
        <w:spacing w:after="0" w:line="128"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3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Upon receiving written permission from the Board or its duly authorized designee, you may,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delivering written notice to the Company, in a form approved by the Company, designate a third party who, on your death, will thereafter be entitled to receive the shares issuable in respect of your Award. In the absence of such a designation, your executor or administrator of your estate will be entitled to receive any Common Stock or other consideration that vested but was not issued before your death.</w:t>
      </w:r>
    </w:p>
    <w:p>
      <w:pPr>
        <w:spacing w:after="0" w:line="12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Date of Issuance</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firstLine="1304"/>
        <w:spacing w:after="0" w:line="223" w:lineRule="auto"/>
        <w:tabs>
          <w:tab w:leader="none" w:pos="19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one or more Restricted Stock Units vest (whether on a scheduled vesting date or upon an accelerated vesting event described in the Grant Notice), the Company shall issue to you one (1) share of Common Stock for each Restricted Stock Unit that vests as soon as administratively possible following the applicable vesting date(s) or, in the case of accelerated vesting, subject to the Release Condition, as soon as administratively possible following the date on which the Release Condition is satisfied (subject to any adjustment under Section 3 above) as indicated in the Grant Notice. The issuance date determined by this paragraph is referred to as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Original Issuance Date falls on a date that is not a business day, delivery shall instead occur on the next following business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w:t>
      </w:r>
    </w:p>
    <w:p>
      <w:pPr>
        <w:spacing w:after="0" w:line="122"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delivery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stock certificate or electronic entry evidencing such shares) shall be determined by the Company.</w:t>
      </w:r>
    </w:p>
    <w:p>
      <w:pPr>
        <w:spacing w:after="0" w:line="169" w:lineRule="exact"/>
        <w:rPr>
          <w:rFonts w:ascii="Times New Roman" w:cs="Times New Roman" w:eastAsia="Times New Roman" w:hAnsi="Times New Roman"/>
          <w:sz w:val="18"/>
          <w:szCs w:val="18"/>
          <w:color w:val="auto"/>
        </w:rPr>
      </w:pPr>
    </w:p>
    <w:p>
      <w:pPr>
        <w:ind w:firstLine="656"/>
        <w:spacing w:after="0" w:line="286" w:lineRule="auto"/>
        <w:tabs>
          <w:tab w:leader="none" w:pos="129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You shall receive no benefit or adjustment to your Award with respect to any cash dividend, stock dividend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that does not result from a Capitalization Adjustment.</w:t>
      </w:r>
    </w:p>
    <w:p>
      <w:pPr>
        <w:spacing w:after="0" w:line="15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Restrictive Legends. </w:t>
      </w:r>
      <w:r>
        <w:rPr>
          <w:rFonts w:ascii="Times New Roman" w:cs="Times New Roman" w:eastAsia="Times New Roman" w:hAnsi="Times New Roman"/>
          <w:sz w:val="18"/>
          <w:szCs w:val="18"/>
          <w:color w:val="auto"/>
        </w:rPr>
        <w:t>The shares of Common Stock issued under your Award shall be endorsed with appropriate legends as determined</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Company.</w:t>
      </w:r>
    </w:p>
    <w:p>
      <w:pPr>
        <w:spacing w:after="0" w:line="202" w:lineRule="exact"/>
        <w:rPr>
          <w:rFonts w:ascii="Times New Roman" w:cs="Times New Roman" w:eastAsia="Times New Roman" w:hAnsi="Times New Roman"/>
          <w:sz w:val="18"/>
          <w:szCs w:val="18"/>
          <w:b w:val="1"/>
          <w:bCs w:val="1"/>
          <w:color w:val="auto"/>
        </w:rPr>
      </w:pPr>
    </w:p>
    <w:p>
      <w:pPr>
        <w:jc w:val="both"/>
        <w:ind w:firstLine="656"/>
        <w:spacing w:after="0" w:line="282" w:lineRule="auto"/>
        <w:tabs>
          <w:tab w:leader="none" w:pos="1296"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Award Not a Service Contract. </w:t>
      </w:r>
      <w:r>
        <w:rPr>
          <w:rFonts w:ascii="Times New Roman" w:cs="Times New Roman" w:eastAsia="Times New Roman" w:hAnsi="Times New Roman"/>
          <w:sz w:val="17"/>
          <w:szCs w:val="17"/>
          <w:color w:val="auto"/>
        </w:rPr>
        <w:t>This Agreement is not an employment or service contract, and nothing in this Agreement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to create in any way whatsoever any obligation on your part to continue in the service of the Company or an Affiliate, or of the Company or an Affiliate to continue your service. In addition, nothing in this Agreement will obligate the Company or an Affiliate, their respective stockholders, boards of directors, officers or employees to continue any relationship that you might have as an employee, Director of or Consultant for the Company or an Affiliate.</w:t>
      </w:r>
    </w:p>
    <w:p>
      <w:pPr>
        <w:spacing w:after="0" w:line="161" w:lineRule="exact"/>
        <w:rPr>
          <w:rFonts w:ascii="Times New Roman" w:cs="Times New Roman" w:eastAsia="Times New Roman" w:hAnsi="Times New Roman"/>
          <w:sz w:val="17"/>
          <w:szCs w:val="17"/>
          <w:b w:val="1"/>
          <w:bCs w:val="1"/>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Obligations.</w:t>
      </w:r>
    </w:p>
    <w:p>
      <w:pPr>
        <w:spacing w:after="0" w:line="215" w:lineRule="exact"/>
        <w:rPr>
          <w:rFonts w:ascii="Times New Roman" w:cs="Times New Roman" w:eastAsia="Times New Roman" w:hAnsi="Times New Roman"/>
          <w:sz w:val="18"/>
          <w:szCs w:val="18"/>
          <w:b w:val="1"/>
          <w:bCs w:val="1"/>
          <w:color w:val="auto"/>
        </w:rPr>
      </w:pPr>
    </w:p>
    <w:p>
      <w:pPr>
        <w:jc w:val="both"/>
        <w:ind w:firstLine="1304"/>
        <w:spacing w:after="0" w:line="213" w:lineRule="auto"/>
        <w:tabs>
          <w:tab w:leader="none" w:pos="19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time you receive a distribution of the shares of Common Stock underlying your Award, and at any other time as reasonably requested by the Company in accordance with applicable tax laws, you hereby agree to make adequate provision in cash for any sums required to satisfy the federal, state, local and foreign tax withholding obligations of the Company or any Affiliate that arise in connection with your Award (the “</w:t>
      </w:r>
      <w:r>
        <w:rPr>
          <w:rFonts w:ascii="Times New Roman" w:cs="Times New Roman" w:eastAsia="Times New Roman" w:hAnsi="Times New Roman"/>
          <w:sz w:val="18"/>
          <w:szCs w:val="18"/>
          <w:b w:val="1"/>
          <w:bCs w:val="1"/>
          <w:i w:val="1"/>
          <w:iCs w:val="1"/>
          <w:color w:val="auto"/>
        </w:rPr>
        <w:t>Withholding Taxes</w:t>
      </w:r>
      <w:r>
        <w:rPr>
          <w:rFonts w:ascii="Times New Roman" w:cs="Times New Roman" w:eastAsia="Times New Roman" w:hAnsi="Times New Roman"/>
          <w:sz w:val="18"/>
          <w:szCs w:val="18"/>
          <w:color w:val="auto"/>
        </w:rPr>
        <w:t>”) measured based on the Fair Market Value of such shares of Common Stock as of the trading day immediately preceding the day shares of Common Stock are vested. In satisfaction of such Withholding Taxes and in accordance with the Sell to Cover Election included in the Grant Notice, you have irrevocably elected to sell the portion of the shares of Common Stock to be delivered underlying your Award necessary so as to satisfy the Withholding Taxes and shall execute any letter of instruction or agreement required by E*Trade Securities LLC or any other stock plan service provider or brokerage firm designated by the Company for such purposes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to cause the Agent to irrevocably commit to forward the proceeds necessary to satisfy the Withholding Taxes directly to the Company and/or its Affiliates. Notwithstanding any other provision of this Agreement, the Company shall not be obligated to deliver any new certificate representing shares of Common Stock to you or to your legal representative or enter such shares of Common Stock in book entry form unless and until you</w:t>
      </w:r>
    </w:p>
    <w:p>
      <w:pPr>
        <w:sectPr>
          <w:pgSz w:w="11900" w:h="16838" w:orient="portrait"/>
          <w:cols w:equalWidth="0" w:num="1">
            <w:col w:w="11240"/>
          </w:cols>
          <w:pgMar w:left="320" w:top="1400" w:right="339" w:bottom="1440" w:gutter="0" w:footer="0" w:header="0"/>
        </w:sectPr>
      </w:pPr>
    </w:p>
    <w:bookmarkStart w:id="52" w:name="page53"/>
    <w:bookmarkEnd w:id="52"/>
    <w:p>
      <w:pPr>
        <w:spacing w:after="0" w:line="222" w:lineRule="auto"/>
        <w:rPr>
          <w:sz w:val="20"/>
          <w:szCs w:val="20"/>
          <w:color w:val="auto"/>
        </w:rPr>
      </w:pPr>
      <w:r>
        <w:rPr>
          <w:rFonts w:ascii="Times New Roman" w:cs="Times New Roman" w:eastAsia="Times New Roman" w:hAnsi="Times New Roman"/>
          <w:sz w:val="18"/>
          <w:szCs w:val="18"/>
          <w:color w:val="auto"/>
        </w:rPr>
        <w:t>or your legal representative shall have paid or otherwise satisfied in full the amount of all federal, state, local and foreign taxes, including payroll taxes, applicable to your taxable income resulting from the grant or vesting of the Restricted Stock Units or the issuance of shares of Common Stock.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your Sell to Cover Election pursuant to the Grant Notice, you hereby acknowledge and agree:</w:t>
      </w:r>
    </w:p>
    <w:p>
      <w:pPr>
        <w:spacing w:after="0" w:line="138" w:lineRule="exact"/>
        <w:rPr>
          <w:sz w:val="20"/>
          <w:szCs w:val="20"/>
          <w:color w:val="auto"/>
        </w:rPr>
      </w:pPr>
    </w:p>
    <w:p>
      <w:pPr>
        <w:jc w:val="both"/>
        <w:ind w:firstLine="1952"/>
        <w:spacing w:after="0" w:line="258" w:lineRule="auto"/>
        <w:tabs>
          <w:tab w:leader="none" w:pos="234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irrevocably appoint the Agent as your agent and authorize the Agent to (A) sell on the open market at the then prevailing market price(s), on your behalf, as soon as practicable on or after the shares of Common Stock are issued upon the vesting of the Restricted Stock Units, that number (rounded up to the next whole number) of shares of Common Stock so issued necessary to generate proceeds to cover (x) any tax withholding obligations incurred with respect to such vesting or issuance and (y) all applicable fees and commissions due to, or required to be collected by, the Agent with respect thereto and (B) apply any remaining funds to your brokerage account.</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438"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authorize the Company and the Agent to cooperate and communicate with one another to determine the number of shares of Common Stock that must be sold pursuant to subsection (1) above.</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411"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the Agent may effect sales as provided in subsection (1) above in one or more sales and that the average price for executions resulting from bunched orders will be assigned to your account. In addition, you acknowledge that it may not be possible to sell shares of Common Stock as provided by subsection (1) above due to (A) a legal or contractual restriction applicable to you or the Agent, (B) a market disruption, or (C) rules governing order execution priority on the national exchange where the shares of Common Stock may be traded. In the event of the Agent’s inability to sell shares of Common Stock, you will continue to be responsible for the timely payment to the Company and/or its Affiliates of all federal, state, local and foreign taxes that are required by applicable laws and regulations to be withheld, including but not limited to those amounts specified in subsection (1) above.</w:t>
      </w:r>
    </w:p>
    <w:p>
      <w:pPr>
        <w:spacing w:after="0" w:line="188"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acknowledge that regardless of any other term or condition of this Section 10(a), the Agent will not be liable to you for</w:t>
      </w:r>
    </w:p>
    <w:p>
      <w:pPr>
        <w:spacing w:after="0" w:line="38" w:lineRule="exact"/>
        <w:rPr>
          <w:rFonts w:ascii="Times New Roman" w:cs="Times New Roman" w:eastAsia="Times New Roman" w:hAnsi="Times New Roman"/>
          <w:sz w:val="17"/>
          <w:szCs w:val="17"/>
          <w:color w:val="auto"/>
        </w:rPr>
      </w:pPr>
    </w:p>
    <w:p>
      <w:pPr>
        <w:ind w:firstLine="8"/>
        <w:spacing w:after="0" w:line="260" w:lineRule="auto"/>
        <w:tabs>
          <w:tab w:leader="none" w:pos="3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indirect, punitive, exemplary, or consequential damages, or incidental losses or damages of any kind, or (B) any failure to perform or for any delay in performance that results from a cause or circumstance that is beyond its reasonable control.</w:t>
      </w:r>
    </w:p>
    <w:p>
      <w:pPr>
        <w:spacing w:after="0" w:line="181" w:lineRule="exact"/>
        <w:rPr>
          <w:rFonts w:ascii="Times New Roman" w:cs="Times New Roman" w:eastAsia="Times New Roman" w:hAnsi="Times New Roman"/>
          <w:sz w:val="18"/>
          <w:szCs w:val="18"/>
          <w:color w:val="auto"/>
        </w:rPr>
      </w:pPr>
    </w:p>
    <w:p>
      <w:pPr>
        <w:ind w:firstLine="1952"/>
        <w:spacing w:after="0" w:line="282" w:lineRule="auto"/>
        <w:tabs>
          <w:tab w:leader="none" w:pos="2362"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agree to execute and deliver to the Agent any other agreements or documents as the Agent reasonably deems necessary or appropriate to carry out the purposes and intent of this Section 10(a). The Agent is a third-party beneficiary of this Section 10(a).</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77"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10(a) shall terminate no earlier than the date on which all tax withholding obligations arising in connection with the vesting of the Award have been satisfied.</w:t>
      </w:r>
    </w:p>
    <w:p>
      <w:pPr>
        <w:spacing w:after="0" w:line="148"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3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that your Sell to Cover Election cannot be effected in such manner that would be consistent with maintaining an affirmative defense under Rule 10b5-1 or consistent with applicable local law (as determined by the Company in its sole discretion), then such transactions shall not occur and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or (iii) withholding shares of Common Stock from the shares of Common Stock issued or otherwise issuable to you in connection with the Award with a Fair Market Value (measured as of the date shares of Common Stock are issued to pursuant to Section 6) equal to the amount of such Withholding Taxes; provided, however, that the number of such shares of Common Stock so withheld will not exceed the amount necessary to satisfy the Company’s required tax withholding obligations using the maximum statutory withholding rates for federal, state, local and foreign tax purposes (or such lesser amount as may be necessary to avoid classification of the Award as a liability for financial accounting purposes); and provided, further, that to the extent necessary to qualify for an exemption from application of Section 16(b) of the Exchange Act, if applicable, such share withholding procedure will be subject to the express prior approval of the Company’s Compensation Committee.</w:t>
      </w:r>
    </w:p>
    <w:p>
      <w:pPr>
        <w:spacing w:after="0" w:line="134"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tax withholding obligations of the Company and/or any Affiliate are satisfied, the Company shall have no obligation to deliver to you any shares of Common Stock.</w:t>
      </w:r>
    </w:p>
    <w:p>
      <w:pPr>
        <w:sectPr>
          <w:pgSz w:w="11900" w:h="16838" w:orient="portrait"/>
          <w:cols w:equalWidth="0" w:num="1">
            <w:col w:w="11240"/>
          </w:cols>
          <w:pgMar w:left="320" w:top="1404" w:right="339" w:bottom="1440" w:gutter="0" w:footer="0" w:header="0"/>
        </w:sectPr>
      </w:pPr>
    </w:p>
    <w:bookmarkStart w:id="53" w:name="page54"/>
    <w:bookmarkEnd w:id="53"/>
    <w:p>
      <w:pPr>
        <w:jc w:val="both"/>
        <w:ind w:left="-656" w:firstLine="1304"/>
        <w:spacing w:after="0" w:line="231" w:lineRule="auto"/>
        <w:tabs>
          <w:tab w:leader="none" w:pos="128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Company’s obligation to withhold arises prior to the delivery to you of shares of Common Stock or it is determined after the delivery of shares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27" w:lineRule="exact"/>
        <w:rPr>
          <w:rFonts w:ascii="Times New Roman" w:cs="Times New Roman" w:eastAsia="Times New Roman" w:hAnsi="Times New Roman"/>
          <w:sz w:val="18"/>
          <w:szCs w:val="18"/>
          <w:color w:val="auto"/>
        </w:rPr>
      </w:pPr>
    </w:p>
    <w:p>
      <w:pPr>
        <w:jc w:val="both"/>
        <w:ind w:left="-656" w:firstLine="656"/>
        <w:spacing w:after="0" w:line="268" w:lineRule="auto"/>
        <w:tabs>
          <w:tab w:leader="none" w:pos="62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Consequences. </w:t>
      </w:r>
      <w:r>
        <w:rPr>
          <w:rFonts w:ascii="Times New Roman" w:cs="Times New Roman" w:eastAsia="Times New Roman" w:hAnsi="Times New Roman"/>
          <w:sz w:val="18"/>
          <w:szCs w:val="18"/>
          <w:color w:val="auto"/>
        </w:rPr>
        <w:t>You hereby agree that the Company does not have a duty to design or administer the Plan or its other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a manner that minimizes your tax liabilities. You will not make any claim against the Company, or any of its Officers, Directors, Employees or Affiliates related to tax liabilities arising from your Award or your other compensation.</w:t>
      </w:r>
    </w:p>
    <w:p>
      <w:pPr>
        <w:spacing w:after="0" w:line="170" w:lineRule="exact"/>
        <w:rPr>
          <w:rFonts w:ascii="Times New Roman" w:cs="Times New Roman" w:eastAsia="Times New Roman" w:hAnsi="Times New Roman"/>
          <w:sz w:val="18"/>
          <w:szCs w:val="18"/>
          <w:b w:val="1"/>
          <w:bCs w:val="1"/>
          <w:color w:val="auto"/>
        </w:rPr>
      </w:pPr>
    </w:p>
    <w:p>
      <w:pPr>
        <w:jc w:val="both"/>
        <w:ind w:left="-656" w:firstLine="656"/>
        <w:spacing w:after="0" w:line="257" w:lineRule="auto"/>
        <w:tabs>
          <w:tab w:leader="none" w:pos="6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notices provided for in your Award or the Plan will be given in writing (including electronically) and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82" w:lineRule="exact"/>
        <w:rPr>
          <w:rFonts w:ascii="Times New Roman" w:cs="Times New Roman" w:eastAsia="Times New Roman" w:hAnsi="Times New Roman"/>
          <w:sz w:val="18"/>
          <w:szCs w:val="18"/>
          <w:b w:val="1"/>
          <w:bCs w:val="1"/>
          <w:color w:val="auto"/>
        </w:rPr>
      </w:pPr>
    </w:p>
    <w:p>
      <w:pPr>
        <w:ind w:left="-656" w:right="20" w:firstLine="656"/>
        <w:spacing w:after="0" w:line="286" w:lineRule="auto"/>
        <w:tabs>
          <w:tab w:leader="none" w:pos="6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Unsecured Obligation. </w:t>
      </w:r>
      <w:r>
        <w:rPr>
          <w:rFonts w:ascii="Times New Roman" w:cs="Times New Roman" w:eastAsia="Times New Roman" w:hAnsi="Times New Roman"/>
          <w:sz w:val="18"/>
          <w:szCs w:val="18"/>
          <w:color w:val="auto"/>
        </w:rPr>
        <w:t>Your Award is unfunded, and as a holder of a vested Award, you shall be considered a general, unsecured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creditor of the Company with respect to the Company’s obligation, if any, to issue shares or other property pursuant to this Agreement.</w:t>
      </w:r>
    </w:p>
    <w:p>
      <w:pPr>
        <w:spacing w:after="0" w:line="154" w:lineRule="exact"/>
        <w:rPr>
          <w:rFonts w:ascii="Times New Roman" w:cs="Times New Roman" w:eastAsia="Times New Roman" w:hAnsi="Times New Roman"/>
          <w:sz w:val="18"/>
          <w:szCs w:val="18"/>
          <w:b w:val="1"/>
          <w:bCs w:val="1"/>
          <w:color w:val="auto"/>
        </w:rPr>
      </w:pPr>
    </w:p>
    <w:p>
      <w:pPr>
        <w:jc w:val="both"/>
        <w:ind w:left="-656" w:firstLine="656"/>
        <w:spacing w:after="0" w:line="257" w:lineRule="auto"/>
        <w:tabs>
          <w:tab w:leader="none" w:pos="6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Your Award is subject to all the provisions of the Plan, the provisions of which are hereby made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Award, and is further subject to all interpretations, amendments, rules and regulations which may from time to time be promulgated and adopted pursuant to the Plan. If there is any conflict between the provisions of your Award and those of the Plan, the provisions of the Plan will control. In addition, your Award (and any compensation paid or shares issued under your Award) is subject to recoupment in accordance with The Dodd–Frank Wall Street Reform and Consumer Protection Act and any implementing regulations thereunder, the HealthEquity, Inc. Clawback Policy, or any other clawback policy adopted by the Company, and any compensation recovery policy otherwise required by applicable law.</w:t>
      </w:r>
    </w:p>
    <w:p>
      <w:pPr>
        <w:spacing w:after="0" w:line="182" w:lineRule="exact"/>
        <w:rPr>
          <w:rFonts w:ascii="Times New Roman" w:cs="Times New Roman" w:eastAsia="Times New Roman" w:hAnsi="Times New Roman"/>
          <w:sz w:val="18"/>
          <w:szCs w:val="18"/>
          <w:b w:val="1"/>
          <w:bCs w:val="1"/>
          <w:color w:val="auto"/>
        </w:rPr>
      </w:pPr>
    </w:p>
    <w:p>
      <w:pPr>
        <w:jc w:val="both"/>
        <w:ind w:left="-656" w:firstLine="656"/>
        <w:spacing w:after="0" w:line="262" w:lineRule="auto"/>
        <w:tabs>
          <w:tab w:leader="none" w:pos="6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Documents. </w:t>
      </w:r>
      <w:r>
        <w:rPr>
          <w:rFonts w:ascii="Times New Roman" w:cs="Times New Roman" w:eastAsia="Times New Roman" w:hAnsi="Times New Roman"/>
          <w:sz w:val="18"/>
          <w:szCs w:val="18"/>
          <w:color w:val="auto"/>
        </w:rPr>
        <w:t>You hereby acknowledge receipt of and the right to receive a document providing the information required by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428(b)(1) promulgated under the Securities Act, which includes the Plan prospectus. In addition, you acknowledge receipt of the Company’s policy permitting certain individuals to sell shares only during certain “open window” periods under, and as otherwise permitted by, the Company’s insider trading policy, in effect from time to time.</w:t>
      </w:r>
    </w:p>
    <w:p>
      <w:pPr>
        <w:spacing w:after="0" w:line="176" w:lineRule="exact"/>
        <w:rPr>
          <w:rFonts w:ascii="Times New Roman" w:cs="Times New Roman" w:eastAsia="Times New Roman" w:hAnsi="Times New Roman"/>
          <w:sz w:val="18"/>
          <w:szCs w:val="18"/>
          <w:b w:val="1"/>
          <w:bCs w:val="1"/>
          <w:color w:val="auto"/>
        </w:rPr>
      </w:pPr>
    </w:p>
    <w:p>
      <w:pPr>
        <w:jc w:val="both"/>
        <w:ind w:left="-656" w:firstLine="656"/>
        <w:spacing w:after="0" w:line="262" w:lineRule="auto"/>
        <w:tabs>
          <w:tab w:leader="none" w:pos="6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this Award will not be included as compensation, earnings, salaries,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jc w:val="both"/>
        <w:ind w:left="-656" w:firstLine="656"/>
        <w:spacing w:after="0" w:line="262" w:lineRule="auto"/>
        <w:tabs>
          <w:tab w:leader="none" w:pos="6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You will not have voting or any other rights as a stockholder of the Company with respect to the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issued pursuant to this Award until such shares are issued to you. Upon such issuance, you will obtain full voting and other rights as a stockholder of the Company. Nothing contained in this Award, and no action taken pursuant to its provisions, will create or be construed to create a trust of any kind or a fiduciary relationship between you and the Company or any other person.</w:t>
      </w:r>
    </w:p>
    <w:p>
      <w:pPr>
        <w:spacing w:after="0" w:line="176" w:lineRule="exact"/>
        <w:rPr>
          <w:rFonts w:ascii="Times New Roman" w:cs="Times New Roman" w:eastAsia="Times New Roman" w:hAnsi="Times New Roman"/>
          <w:sz w:val="18"/>
          <w:szCs w:val="18"/>
          <w:b w:val="1"/>
          <w:bCs w:val="1"/>
          <w:color w:val="auto"/>
        </w:rPr>
      </w:pPr>
    </w:p>
    <w:p>
      <w:pPr>
        <w:jc w:val="both"/>
        <w:ind w:left="-656" w:firstLine="656"/>
        <w:spacing w:after="0" w:line="262" w:lineRule="auto"/>
        <w:tabs>
          <w:tab w:leader="none" w:pos="6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all or any part of this Agreement or the Plan is declared by any court or governmental authority to be unlawful or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unlawfulness or invalidity will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ectPr>
          <w:pgSz w:w="11900" w:h="16838" w:orient="portrait"/>
          <w:cols w:equalWidth="0" w:num="1">
            <w:col w:w="10584"/>
          </w:cols>
          <w:pgMar w:left="976" w:top="1404" w:right="339" w:bottom="1440" w:gutter="0" w:footer="0" w:header="0"/>
        </w:sectPr>
      </w:pPr>
    </w:p>
    <w:bookmarkStart w:id="54" w:name="page55"/>
    <w:bookmarkEnd w:id="54"/>
    <w:p>
      <w:pPr>
        <w:ind w:left="1300" w:hanging="644"/>
        <w:spacing w:after="0"/>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15" w:lineRule="exact"/>
        <w:rPr>
          <w:rFonts w:ascii="Times New Roman" w:cs="Times New Roman" w:eastAsia="Times New Roman" w:hAnsi="Times New Roman"/>
          <w:sz w:val="18"/>
          <w:szCs w:val="18"/>
          <w:b w:val="1"/>
          <w:bCs w:val="1"/>
          <w:color w:val="auto"/>
        </w:rPr>
      </w:pPr>
    </w:p>
    <w:p>
      <w:pPr>
        <w:ind w:firstLine="1304"/>
        <w:spacing w:after="0" w:line="237" w:lineRule="auto"/>
        <w:tabs>
          <w:tab w:leader="none" w:pos="19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the Company under your Award will be transferable to any one or more persons or entities, and all covenants and agreements hereunder will inure to the benefit of, and be enforceable by, the Company’s successors and assigns.</w:t>
      </w:r>
    </w:p>
    <w:p>
      <w:pPr>
        <w:spacing w:after="0" w:line="131"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Award.</w:t>
      </w:r>
    </w:p>
    <w:p>
      <w:pPr>
        <w:spacing w:after="0" w:line="131"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31"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subject to all applicable laws, rules, and regulations, and to such approvals by any governmental agencies or national securities exchanges as may be required.</w:t>
      </w:r>
    </w:p>
    <w:p>
      <w:pPr>
        <w:spacing w:after="0" w:line="131"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Company under the Plan and this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31"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Restricted Stock Unit Award Agreement will be deemed to be signed by you upon the signing by you of the Restricted Stock Unit Notice to which it is attached.</w:t>
      </w:r>
    </w:p>
    <w:p>
      <w:pPr>
        <w:sectPr>
          <w:pgSz w:w="11900" w:h="16838" w:orient="portrait"/>
          <w:cols w:equalWidth="0" w:num="1">
            <w:col w:w="11240"/>
          </w:cols>
          <w:pgMar w:left="320" w:top="1413"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Attached)</w:t>
      </w:r>
    </w:p>
    <w:p>
      <w:pPr>
        <w:sectPr>
          <w:pgSz w:w="11900" w:h="16838" w:orient="portrait"/>
          <w:cols w:equalWidth="0" w:num="1">
            <w:col w:w="9019"/>
          </w:cols>
          <w:pgMar w:left="1440" w:top="1413" w:right="1440"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HEALTHEQUITY,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NOTICE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HealthEquity,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2024 Equity Incentive Plan, as amended and restated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Participant a Restricted Stock Unit Award for the number of shares of the Company’s Common Stock set forth below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The Restricted Stock Unit Award is subject to all of the terms and conditions as set forth in this Restricted Stock Unit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 the Restricted Stock Unit Award Agreement (attached hereto as Attachment I) and the Plan (attached hereto as Attachment II), both of which are incorporated herein in their entirety. Capitalized terms not explicitly defined herein but defined in the Plan or the Restricted Stock Unit Award Agreement will have the same definitions as in the Plan or the Restricted Stock Unit Award Agreement. If there is any conflict between the terms in this Grant Notice and the Plan, the terms of the Plan will control.</w:t>
      </w:r>
    </w:p>
    <w:p>
      <w:pPr>
        <w:sectPr>
          <w:pgSz w:w="11900" w:h="16838" w:orient="portrait"/>
          <w:cols w:equalWidth="0" w:num="1">
            <w:col w:w="11240"/>
          </w:cols>
          <w:pgMar w:left="320" w:top="968" w:right="339" w:bottom="1440" w:gutter="0" w:footer="0" w:header="0"/>
        </w:sectPr>
      </w:pPr>
    </w:p>
    <w:p>
      <w:pPr>
        <w:spacing w:after="0" w:line="1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Name of Participant: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%%FIRST_NAME_MIDDLE_NAME_LAST_NAME%-%</w:t>
      </w:r>
    </w:p>
    <w:p>
      <w:pPr>
        <w:spacing w:after="0" w:line="200" w:lineRule="exact"/>
        <w:rPr>
          <w:sz w:val="20"/>
          <w:szCs w:val="20"/>
          <w:color w:val="auto"/>
        </w:rPr>
      </w:pPr>
    </w:p>
    <w:p>
      <w:pPr>
        <w:sectPr>
          <w:pgSz w:w="11900" w:h="16838" w:orient="portrait"/>
          <w:cols w:equalWidth="0" w:num="2">
            <w:col w:w="4100" w:space="720"/>
            <w:col w:w="6420"/>
          </w:cols>
          <w:pgMar w:left="320" w:top="968" w:right="339" w:bottom="1440" w:gutter="0" w:footer="0" w:header="0"/>
          <w:type w:val="continuous"/>
        </w:sectPr>
      </w:pPr>
    </w:p>
    <w:p>
      <w:pPr>
        <w:spacing w:after="0" w:line="1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%%OPTION_DATE,'Month DD, YYYY'%-%</w:t>
      </w:r>
    </w:p>
    <w:p>
      <w:pPr>
        <w:spacing w:after="0" w:line="200" w:lineRule="exact"/>
        <w:rPr>
          <w:sz w:val="20"/>
          <w:szCs w:val="20"/>
          <w:color w:val="auto"/>
        </w:rPr>
      </w:pPr>
    </w:p>
    <w:p>
      <w:pPr>
        <w:sectPr>
          <w:pgSz w:w="11900" w:h="16838" w:orient="portrait"/>
          <w:cols w:equalWidth="0" w:num="2">
            <w:col w:w="4100" w:space="720"/>
            <w:col w:w="6420"/>
          </w:cols>
          <w:pgMar w:left="320" w:top="968" w:right="339" w:bottom="1440" w:gutter="0" w:footer="0" w:header="0"/>
          <w:type w:val="continuous"/>
        </w:sectPr>
      </w:pP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17"/>
          <w:szCs w:val="17"/>
          <w:color w:val="auto"/>
        </w:rPr>
        <w:t>%%VEST_BASE_DATE,'Month DD, YYYY'%-%</w:t>
      </w:r>
    </w:p>
    <w:p>
      <w:pPr>
        <w:spacing w:after="0" w:line="200" w:lineRule="exact"/>
        <w:rPr>
          <w:sz w:val="20"/>
          <w:szCs w:val="20"/>
          <w:color w:val="auto"/>
        </w:rPr>
      </w:pPr>
    </w:p>
    <w:p>
      <w:pPr>
        <w:sectPr>
          <w:pgSz w:w="11900" w:h="16838" w:orient="portrait"/>
          <w:cols w:equalWidth="0" w:num="2">
            <w:col w:w="4100" w:space="720"/>
            <w:col w:w="6420"/>
          </w:cols>
          <w:pgMar w:left="320" w:top="968" w:right="339" w:bottom="1440" w:gutter="0" w:footer="0" w:header="0"/>
          <w:type w:val="continuous"/>
        </w:sectPr>
      </w:pP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Number of Restricted Stock Units: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7"/>
          <w:szCs w:val="17"/>
          <w:color w:val="auto"/>
        </w:rPr>
        <w:t>%%TOTAL_SHARES_GRANTED,'999,999,999'%-%</w:t>
      </w:r>
    </w:p>
    <w:p>
      <w:pPr>
        <w:spacing w:after="0" w:line="200" w:lineRule="exact"/>
        <w:rPr>
          <w:sz w:val="20"/>
          <w:szCs w:val="20"/>
          <w:color w:val="auto"/>
        </w:rPr>
      </w:pPr>
    </w:p>
    <w:p>
      <w:pPr>
        <w:sectPr>
          <w:pgSz w:w="11900" w:h="16838" w:orient="portrait"/>
          <w:cols w:equalWidth="0" w:num="2">
            <w:col w:w="4100" w:space="720"/>
            <w:col w:w="6420"/>
          </w:cols>
          <w:pgMar w:left="320" w:top="968" w:right="339" w:bottom="1440" w:gutter="0" w:footer="0" w:header="0"/>
          <w:type w:val="continuous"/>
        </w:sectPr>
      </w:pPr>
    </w:p>
    <w:p>
      <w:pPr>
        <w:spacing w:after="0" w:line="397" w:lineRule="exact"/>
        <w:rPr>
          <w:sz w:val="20"/>
          <w:szCs w:val="20"/>
          <w:color w:val="auto"/>
        </w:rPr>
      </w:pPr>
    </w:p>
    <w:p>
      <w:pPr>
        <w:jc w:val="both"/>
        <w:ind w:left="1580" w:hanging="2591"/>
        <w:spacing w:after="0" w:line="256" w:lineRule="auto"/>
        <w:tabs>
          <w:tab w:leader="none" w:pos="156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The shares subject to the Award shall vest, subject to Participant’s Continuous Service as of each applicable vesting date, as follows: twenty-five percent (25%) of the shares initially subject to the Award shall vest on the first anniversary of the Vesting Commencement Date and six and one quarter percent (6.25%) of the shares initially subject to the Award shall vest thereafter on the first day of each calendar quarter for the twelve (12) calendar quarters following the first anniversary of the Vesting Commencement Date (in each case, rounded down to the nearest whole share except with respect to the last vesting period, with respect to which all remaining shares shall vest).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on a Change in</w:t>
      </w:r>
    </w:p>
    <w:p>
      <w:pPr>
        <w:spacing w:after="0" w:line="31" w:lineRule="exact"/>
        <w:rPr>
          <w:sz w:val="20"/>
          <w:szCs w:val="20"/>
          <w:color w:val="auto"/>
        </w:rPr>
      </w:pPr>
    </w:p>
    <w:p>
      <w:pPr>
        <w:jc w:val="both"/>
        <w:ind w:left="900" w:hanging="2591"/>
        <w:spacing w:after="0" w:line="252"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Control:</w:t>
      </w:r>
      <w:r>
        <w:rPr>
          <w:sz w:val="20"/>
          <w:szCs w:val="20"/>
          <w:color w:val="auto"/>
        </w:rPr>
        <w:tab/>
      </w:r>
      <w:r>
        <w:rPr>
          <w:rFonts w:ascii="Times New Roman" w:cs="Times New Roman" w:eastAsia="Times New Roman" w:hAnsi="Times New Roman"/>
          <w:sz w:val="18"/>
          <w:szCs w:val="18"/>
          <w:color w:val="auto"/>
        </w:rPr>
        <w:t>If a Change in Control occurs during Participant’s Continuous Service, the Restricted Stock Unit Award shall be treated in accordance with terms of Section 9(d) of the Plan. Notwithstanding Section 9(d)(ii) of the Plan, if the surviving corporation or acquiring corporation (or the surviving or acquiring corporation’s parent company) assumes or continues the Restricted Stock Unit Award or substitutes the Restricted Stock Unit Award for a similar stock award in accordance with Section 9(c)(i) of the Plan (such units, the “</w:t>
      </w:r>
      <w:r>
        <w:rPr>
          <w:rFonts w:ascii="Times New Roman" w:cs="Times New Roman" w:eastAsia="Times New Roman" w:hAnsi="Times New Roman"/>
          <w:sz w:val="18"/>
          <w:szCs w:val="18"/>
          <w:b w:val="1"/>
          <w:bCs w:val="1"/>
          <w:i w:val="1"/>
          <w:iCs w:val="1"/>
          <w:color w:val="auto"/>
        </w:rPr>
        <w:t>Eligible Restricted Stock Units</w:t>
      </w:r>
      <w:r>
        <w:rPr>
          <w:rFonts w:ascii="Times New Roman" w:cs="Times New Roman" w:eastAsia="Times New Roman" w:hAnsi="Times New Roman"/>
          <w:sz w:val="18"/>
          <w:szCs w:val="18"/>
          <w:color w:val="auto"/>
        </w:rPr>
        <w:t>”) and Participant’s Continuous Service is terminated due to Participant’s death or Disability during the twenty-four (24)-month period commencing on such Change in Control, all Eligible Restricted Stock Units that have not previously vested shall vest as of the date of such termination.</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on a Termination</w:t>
      </w:r>
    </w:p>
    <w:p>
      <w:pPr>
        <w:spacing w:after="0" w:line="31" w:lineRule="exact"/>
        <w:rPr>
          <w:sz w:val="20"/>
          <w:szCs w:val="20"/>
          <w:color w:val="auto"/>
        </w:rPr>
      </w:pPr>
    </w:p>
    <w:p>
      <w:pPr>
        <w:jc w:val="both"/>
        <w:ind w:left="2300" w:hanging="2591"/>
        <w:spacing w:after="0" w:line="253" w:lineRule="auto"/>
        <w:tabs>
          <w:tab w:leader="none" w:pos="2280" w:val="left"/>
        </w:tabs>
        <w:rPr>
          <w:sz w:val="20"/>
          <w:szCs w:val="20"/>
          <w:color w:val="auto"/>
        </w:rPr>
      </w:pPr>
      <w:r>
        <w:rPr>
          <w:rFonts w:ascii="Times New Roman" w:cs="Times New Roman" w:eastAsia="Times New Roman" w:hAnsi="Times New Roman"/>
          <w:sz w:val="18"/>
          <w:szCs w:val="18"/>
          <w:b w:val="1"/>
          <w:bCs w:val="1"/>
          <w:color w:val="auto"/>
        </w:rPr>
        <w:t>Due to Death or Disability:</w:t>
      </w:r>
      <w:r>
        <w:rPr>
          <w:sz w:val="20"/>
          <w:szCs w:val="20"/>
          <w:color w:val="auto"/>
        </w:rPr>
        <w:tab/>
      </w:r>
      <w:r>
        <w:rPr>
          <w:rFonts w:ascii="Times New Roman" w:cs="Times New Roman" w:eastAsia="Times New Roman" w:hAnsi="Times New Roman"/>
          <w:sz w:val="18"/>
          <w:szCs w:val="18"/>
          <w:color w:val="auto"/>
        </w:rPr>
        <w:t>If, prior to a Change in Control, Participant’s Continuous Service terminates as a result of Participant’s death or Disability, subject to Participant’s (or Participant’s legal representative’s) execution and delivery of the Company’s standard form of a general release of claims in favor of the Company and its Affiliates and such release becoming irrevocable no later than sixty (60) days following such termination (the “</w:t>
      </w:r>
      <w:r>
        <w:rPr>
          <w:rFonts w:ascii="Times New Roman" w:cs="Times New Roman" w:eastAsia="Times New Roman" w:hAnsi="Times New Roman"/>
          <w:sz w:val="18"/>
          <w:szCs w:val="18"/>
          <w:b w:val="1"/>
          <w:bCs w:val="1"/>
          <w:i w:val="1"/>
          <w:iCs w:val="1"/>
          <w:color w:val="auto"/>
        </w:rPr>
        <w:t>Release Condition</w:t>
      </w:r>
      <w:r>
        <w:rPr>
          <w:rFonts w:ascii="Times New Roman" w:cs="Times New Roman" w:eastAsia="Times New Roman" w:hAnsi="Times New Roman"/>
          <w:sz w:val="18"/>
          <w:szCs w:val="18"/>
          <w:color w:val="auto"/>
        </w:rPr>
        <w:t>”), all Restricted Stock Units that have not previously vested shall vest as of the date of such termination.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on a Pre-CIC</w:t>
      </w:r>
    </w:p>
    <w:p>
      <w:pPr>
        <w:sectPr>
          <w:pgSz w:w="11900" w:h="16838" w:orient="portrait"/>
          <w:cols w:equalWidth="0" w:num="1">
            <w:col w:w="11240"/>
          </w:cols>
          <w:pgMar w:left="320" w:top="968" w:right="339" w:bottom="1440" w:gutter="0" w:footer="0" w:header="0"/>
          <w:type w:val="continuous"/>
        </w:sectPr>
      </w:pPr>
    </w:p>
    <w:bookmarkStart w:id="57" w:name="page58"/>
    <w:bookmarkEnd w:id="57"/>
    <w:p>
      <w:pPr>
        <w:jc w:val="both"/>
        <w:ind w:left="2080" w:hanging="2591"/>
        <w:spacing w:after="0" w:line="256" w:lineRule="auto"/>
        <w:tabs>
          <w:tab w:leader="none" w:pos="2060" w:val="left"/>
        </w:tabs>
        <w:rPr>
          <w:sz w:val="20"/>
          <w:szCs w:val="20"/>
          <w:color w:val="auto"/>
        </w:rPr>
      </w:pPr>
      <w:r>
        <w:rPr>
          <w:rFonts w:ascii="Times New Roman" w:cs="Times New Roman" w:eastAsia="Times New Roman" w:hAnsi="Times New Roman"/>
          <w:sz w:val="18"/>
          <w:szCs w:val="18"/>
          <w:b w:val="1"/>
          <w:bCs w:val="1"/>
          <w:color w:val="auto"/>
        </w:rPr>
        <w:t>Qualifying Termination:</w:t>
      </w:r>
      <w:r>
        <w:rPr>
          <w:sz w:val="20"/>
          <w:szCs w:val="20"/>
          <w:color w:val="auto"/>
        </w:rPr>
        <w:tab/>
      </w:r>
      <w:r>
        <w:rPr>
          <w:rFonts w:ascii="Times New Roman" w:cs="Times New Roman" w:eastAsia="Times New Roman" w:hAnsi="Times New Roman"/>
          <w:sz w:val="18"/>
          <w:szCs w:val="18"/>
          <w:color w:val="auto"/>
        </w:rPr>
        <w:t>If, prior to a Change in Control, Participant’s Continuous Service is terminated by the Company (or any successor or Affiliate) without Cause (and other than as a result of Participant's death or Disability) or by Participant for Good Reason (each, a “</w:t>
      </w:r>
      <w:r>
        <w:rPr>
          <w:rFonts w:ascii="Times New Roman" w:cs="Times New Roman" w:eastAsia="Times New Roman" w:hAnsi="Times New Roman"/>
          <w:sz w:val="18"/>
          <w:szCs w:val="18"/>
          <w:b w:val="1"/>
          <w:bCs w:val="1"/>
          <w:i w:val="1"/>
          <w:iCs w:val="1"/>
          <w:color w:val="auto"/>
        </w:rPr>
        <w:t>Pre-CIC Qualifying Termination</w:t>
      </w:r>
      <w:r>
        <w:rPr>
          <w:rFonts w:ascii="Times New Roman" w:cs="Times New Roman" w:eastAsia="Times New Roman" w:hAnsi="Times New Roman"/>
          <w:sz w:val="18"/>
          <w:szCs w:val="18"/>
          <w:color w:val="auto"/>
        </w:rPr>
        <w:t>”), subject to Participant’s satisfaction of the Release Condition and Participant’s continued compliance with the restrictive covenants set forth in the Team Member Confidentiality Agreement, any Restricted Stock Units that would have vested within the twelve (12)-month period following the date of such Pre-CIC Qualifying Termination shall vest as of the date of such termination.</w:t>
      </w:r>
    </w:p>
    <w:p>
      <w:pPr>
        <w:spacing w:after="0" w:line="187" w:lineRule="exact"/>
        <w:rPr>
          <w:sz w:val="20"/>
          <w:szCs w:val="20"/>
          <w:color w:val="auto"/>
        </w:rPr>
      </w:pPr>
    </w:p>
    <w:p>
      <w:pPr>
        <w:jc w:val="both"/>
        <w:ind w:left="1720" w:hanging="2591"/>
        <w:spacing w:after="0" w:line="282" w:lineRule="auto"/>
        <w:tabs>
          <w:tab w:leader="none" w:pos="170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Subject to any change in respect of a Capitalization Adjustment, one share of Common Stock will be issued for each Restricted Stock Unit that vests at the time set forth in Section 6 of the Restricted Stock Unit Award Agreement.</w:t>
      </w:r>
    </w:p>
    <w:p>
      <w:pPr>
        <w:spacing w:after="0" w:line="162" w:lineRule="exact"/>
        <w:rPr>
          <w:sz w:val="20"/>
          <w:szCs w:val="20"/>
          <w:color w:val="auto"/>
        </w:rPr>
      </w:pPr>
    </w:p>
    <w:p>
      <w:pPr>
        <w:jc w:val="both"/>
        <w:ind w:left="1980" w:hanging="2591"/>
        <w:spacing w:after="0" w:line="256" w:lineRule="auto"/>
        <w:tabs>
          <w:tab w:leader="none" w:pos="1960" w:val="left"/>
        </w:tabs>
        <w:rPr>
          <w:sz w:val="20"/>
          <w:szCs w:val="20"/>
          <w:color w:val="auto"/>
        </w:rPr>
      </w:pPr>
      <w:r>
        <w:rPr>
          <w:rFonts w:ascii="Times New Roman" w:cs="Times New Roman" w:eastAsia="Times New Roman" w:hAnsi="Times New Roman"/>
          <w:sz w:val="18"/>
          <w:szCs w:val="18"/>
          <w:b w:val="1"/>
          <w:bCs w:val="1"/>
          <w:color w:val="auto"/>
        </w:rPr>
        <w:t>Restrictive Covenants:</w:t>
      </w:r>
      <w:r>
        <w:rPr>
          <w:sz w:val="20"/>
          <w:szCs w:val="20"/>
          <w:color w:val="auto"/>
        </w:rPr>
        <w:tab/>
      </w:r>
      <w:r>
        <w:rPr>
          <w:rFonts w:ascii="Times New Roman" w:cs="Times New Roman" w:eastAsia="Times New Roman" w:hAnsi="Times New Roman"/>
          <w:sz w:val="18"/>
          <w:szCs w:val="18"/>
          <w:color w:val="auto"/>
        </w:rPr>
        <w:t>As a condition of the grant of Restricted Stock Units hereunder, the undersigned Participant hereby affirms all confidentiality, non-interference, invention assignment or similar covenants previously made by Participant in favor of the Company and acknowledges that such covenants are independent obligations of Participant (such covenants, the “Team Member Confidentiality Agreement”). Participant hereby acknowledges and agrees that this Grant Notice and the Team Member Confidentiality Agreement will be considered separate contracts, and the Team Member Confidentiality Agreement will survive the termination of this Grant Notice for any reason.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31" w:lineRule="exact"/>
        <w:rPr>
          <w:sz w:val="20"/>
          <w:szCs w:val="20"/>
          <w:color w:val="auto"/>
        </w:rPr>
      </w:pPr>
    </w:p>
    <w:p>
      <w:pPr>
        <w:jc w:val="both"/>
        <w:ind w:left="1480" w:hanging="2591"/>
        <w:spacing w:after="0" w:line="255"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Guidelines, Etc.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Restricted Stock Units (and any compensation paid or shares issued in respect of the Restricted Stock Units) are subject to (i) any share ownership guidelines to which Participant may be subject, and (ii) any insider trading policy adopted by the Company and any applicable law regulating trading by employees.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Terms/</w:t>
      </w:r>
    </w:p>
    <w:p>
      <w:pPr>
        <w:spacing w:after="0" w:line="31" w:lineRule="exact"/>
        <w:rPr>
          <w:sz w:val="20"/>
          <w:szCs w:val="20"/>
          <w:color w:val="auto"/>
        </w:rPr>
      </w:pPr>
    </w:p>
    <w:p>
      <w:pPr>
        <w:jc w:val="both"/>
        <w:ind w:left="1900" w:hanging="2591"/>
        <w:spacing w:after="0" w:line="251" w:lineRule="auto"/>
        <w:tabs>
          <w:tab w:leader="none" w:pos="1880" w:val="left"/>
        </w:tabs>
        <w:rPr>
          <w:sz w:val="20"/>
          <w:szCs w:val="20"/>
          <w:color w:val="auto"/>
        </w:rPr>
      </w:pPr>
      <w:r>
        <w:rPr>
          <w:rFonts w:ascii="Times New Roman" w:cs="Times New Roman" w:eastAsia="Times New Roman" w:hAnsi="Times New Roman"/>
          <w:sz w:val="18"/>
          <w:szCs w:val="18"/>
          <w:b w:val="1"/>
          <w:bCs w:val="1"/>
          <w:color w:val="auto"/>
        </w:rPr>
        <w:t>Acknowledgements:</w:t>
      </w:r>
      <w:r>
        <w:rPr>
          <w:sz w:val="20"/>
          <w:szCs w:val="20"/>
          <w:color w:val="auto"/>
        </w:rPr>
        <w:tab/>
      </w:r>
      <w:r>
        <w:rPr>
          <w:rFonts w:ascii="Times New Roman" w:cs="Times New Roman" w:eastAsia="Times New Roman" w:hAnsi="Times New Roman"/>
          <w:sz w:val="18"/>
          <w:szCs w:val="18"/>
          <w:color w:val="auto"/>
        </w:rPr>
        <w:t>By signing below or, if applicable, electronically accepting this Restricted Stock Unit Award, the undersigned Participant acknowledges having received and reviewed in their entirety, and fully understands and agrees to all provisions of, this Grant Notice, the Restricted Stock Unit Award Agreement, the Plan and the Team Member Confidentiality Agreement. Participant acknowledges and agrees that this Grant Notice and the Restricted Stock Unit Award Agreement may not be modified, amended or revised except as provided in the Plan. Participant further acknowledges that, as of the Date of Grant, this Grant Notice, the Restricted Stock Unit Award Agreement, the Plan and the Team Member Confidentiality Agreement set forth the entire agreement and understanding between Participant and the Company regarding the acquisition of the Common Stock pursuant to the Award specified above and supersede all prior oral and written agreements, promises and/or representations on that subject with the exception of (i) Restricted Stock Units previously granted and delivered to Participant, (ii) any applicable compensation recovery policy that is adopted by the Company or is otherwise required by applicable law, and (iii) any written employment or severance arrangement that would provide for vesting acceleration of this Restricted Stock Unit Award upon the terms and conditions set forth therein. By accepting this Restricted Stock Unit Award, Participant consents to receive such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3" w:lineRule="exact"/>
        <w:rPr>
          <w:sz w:val="20"/>
          <w:szCs w:val="20"/>
          <w:color w:val="auto"/>
        </w:rPr>
      </w:pPr>
    </w:p>
    <w:p>
      <w:pPr>
        <w:jc w:val="both"/>
        <w:ind w:left="2320" w:hanging="2591"/>
        <w:spacing w:after="0" w:line="282" w:lineRule="auto"/>
        <w:tabs>
          <w:tab w:leader="none" w:pos="2300" w:val="left"/>
        </w:tabs>
        <w:rPr>
          <w:sz w:val="20"/>
          <w:szCs w:val="20"/>
          <w:color w:val="auto"/>
        </w:rPr>
      </w:pPr>
      <w:r>
        <w:rPr>
          <w:rFonts w:ascii="Times New Roman" w:cs="Times New Roman" w:eastAsia="Times New Roman" w:hAnsi="Times New Roman"/>
          <w:sz w:val="18"/>
          <w:szCs w:val="18"/>
          <w:b w:val="1"/>
          <w:bCs w:val="1"/>
          <w:color w:val="auto"/>
        </w:rPr>
        <w:t>Withholding Tax Election:</w:t>
      </w:r>
      <w:r>
        <w:rPr>
          <w:sz w:val="20"/>
          <w:szCs w:val="20"/>
          <w:color w:val="auto"/>
        </w:rPr>
        <w:tab/>
      </w:r>
      <w:r>
        <w:rPr>
          <w:rFonts w:ascii="Times New Roman" w:cs="Times New Roman" w:eastAsia="Times New Roman" w:hAnsi="Times New Roman"/>
          <w:sz w:val="18"/>
          <w:szCs w:val="18"/>
          <w:color w:val="auto"/>
        </w:rPr>
        <w:t>Participant understands that by accepting this Restricted Stock Unit Award, Participant hereby (i) affirmatively elects (the “</w:t>
      </w:r>
      <w:r>
        <w:rPr>
          <w:rFonts w:ascii="Times New Roman" w:cs="Times New Roman" w:eastAsia="Times New Roman" w:hAnsi="Times New Roman"/>
          <w:sz w:val="18"/>
          <w:szCs w:val="18"/>
          <w:b w:val="1"/>
          <w:bCs w:val="1"/>
          <w:i w:val="1"/>
          <w:iCs w:val="1"/>
          <w:color w:val="auto"/>
        </w:rPr>
        <w:t>Sell to Cover Election</w:t>
      </w:r>
      <w:r>
        <w:rPr>
          <w:rFonts w:ascii="Times New Roman" w:cs="Times New Roman" w:eastAsia="Times New Roman" w:hAnsi="Times New Roman"/>
          <w:sz w:val="18"/>
          <w:szCs w:val="18"/>
          <w:color w:val="auto"/>
        </w:rPr>
        <w:t>”), effective as of the Date of Grant, to sell that number of shares of Common Stock</w:t>
      </w:r>
    </w:p>
    <w:p>
      <w:pPr>
        <w:sectPr>
          <w:pgSz w:w="11900" w:h="16838" w:orient="portrait"/>
          <w:cols w:equalWidth="0" w:num="1">
            <w:col w:w="11240"/>
          </w:cols>
          <w:pgMar w:left="320" w:top="968" w:right="339" w:bottom="1440" w:gutter="0" w:footer="0" w:header="0"/>
        </w:sectPr>
      </w:pPr>
    </w:p>
    <w:bookmarkStart w:id="58" w:name="page59"/>
    <w:bookmarkEnd w:id="58"/>
    <w:p>
      <w:pPr>
        <w:jc w:val="both"/>
        <w:ind w:left="2600"/>
        <w:spacing w:after="0" w:line="252" w:lineRule="auto"/>
        <w:rPr>
          <w:sz w:val="20"/>
          <w:szCs w:val="20"/>
          <w:color w:val="auto"/>
        </w:rPr>
      </w:pPr>
      <w:r>
        <w:rPr>
          <w:rFonts w:ascii="Times New Roman" w:cs="Times New Roman" w:eastAsia="Times New Roman" w:hAnsi="Times New Roman"/>
          <w:sz w:val="18"/>
          <w:szCs w:val="18"/>
          <w:color w:val="auto"/>
        </w:rPr>
        <w:t>determined in accordance with Section 10(a) of the Restricted Stock Unit Award Agreement, and to allow the Agent (as defined in the Restricted Stock Unit Award Agreement) to remit the cash proceeds of such sale to the Company as more specifically set forth in Section 10(a) of the Restricted Stock Unit Award Agreement; (ii) directs the Company to make a cash payment equal to the required tax withholding from the cash proceeds of such sale directly to the appropriate taxing authorities; and (iii) represents and warrants that (x) Participant has carefully reviewed Section 10(a) of the Restricted Stock Unit Award Agreement, (y) on the date Participant accepts this Restricted Stock Unit Award, he or she is not aware of any material, nonpublic information with respect to the Company or any securities of the Company, is not subject to any legal, regulatory or contractual restriction that would prevent the Agent from conducting sales, does not have, and will not attempt to exercise, authority, influence or control over any sales of shares of Common Stock effected by the Agent pursuant to the Restricted Stock Unit Award Agreement, and is entering into the Restricted Stock Unit Award Agreement and the Sell to Cover Election in good faith and not as part of a plan or scheme to evade the prohibitions of Rule 10b5-1 (regarding trading of the Company’s securities on the basis of material nonpublic information)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(z) it is Participant’s intent that the Sell to Cover Election comply with the requirements of Rule 10b5-1(c)(1)(i)(B) under the Exchange Act and be interpreted to comply with the requirements of Rule 10b5-1(c) under the Exchange Act.</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Award of Restricted Stock Units is subject to Participant’s returning a signed copy of this Grant Notice to the Company or, if applicable, electronically accepting this Award through the E*Trade website. Participant shall forfeit the Restricted Stock Units if Participant does not execute this Grant Notice or otherwise accept the Restricted Stock Units within 360 days of the Vesting Commencement Date.</w:t>
      </w:r>
    </w:p>
    <w:p>
      <w:pPr>
        <w:spacing w:after="0" w:line="319"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HealthEquity, Inc.</w:t>
            </w:r>
          </w:p>
        </w:tc>
        <w:tc>
          <w:tcPr>
            <w:tcW w:w="2960" w:type="dxa"/>
            <w:vAlign w:val="bottom"/>
            <w:gridSpan w:val="5"/>
          </w:tcPr>
          <w:p>
            <w:pPr>
              <w:ind w:left="2100"/>
              <w:spacing w:after="0"/>
              <w:rPr>
                <w:sz w:val="20"/>
                <w:szCs w:val="20"/>
                <w:color w:val="auto"/>
              </w:rPr>
            </w:pPr>
            <w:r>
              <w:rPr>
                <w:rFonts w:ascii="Times New Roman" w:cs="Times New Roman" w:eastAsia="Times New Roman" w:hAnsi="Times New Roman"/>
                <w:sz w:val="18"/>
                <w:szCs w:val="18"/>
                <w:b w:val="1"/>
                <w:bCs w:val="1"/>
                <w:color w:val="auto"/>
                <w:w w:val="96"/>
              </w:rPr>
              <w:t>Participant</w:t>
            </w:r>
          </w:p>
        </w:tc>
      </w:tr>
      <w:tr>
        <w:trPr>
          <w:trHeight w:val="39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180" w:type="dxa"/>
            <w:vAlign w:val="bottom"/>
            <w:tcBorders>
              <w:bottom w:val="single" w:sz="8" w:color="auto"/>
            </w:tcBorders>
          </w:tcPr>
          <w:p>
            <w:pPr>
              <w:spacing w:after="0"/>
              <w:rPr>
                <w:sz w:val="24"/>
                <w:szCs w:val="24"/>
                <w:color w:val="auto"/>
              </w:rPr>
            </w:pPr>
          </w:p>
        </w:tc>
        <w:tc>
          <w:tcPr>
            <w:tcW w:w="3080" w:type="dxa"/>
            <w:vAlign w:val="bottom"/>
            <w:gridSpan w:val="2"/>
          </w:tcPr>
          <w:p>
            <w:pPr>
              <w:spacing w:after="0"/>
              <w:rPr>
                <w:sz w:val="24"/>
                <w:szCs w:val="24"/>
                <w:color w:val="auto"/>
              </w:rPr>
            </w:pPr>
          </w:p>
        </w:tc>
        <w:tc>
          <w:tcPr>
            <w:tcW w:w="236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2"/>
              </w:rPr>
              <w:t>By:</w:t>
            </w:r>
          </w:p>
        </w:tc>
        <w:tc>
          <w:tcPr>
            <w:tcW w:w="180" w:type="dxa"/>
            <w:vAlign w:val="bottom"/>
            <w:tcBorders>
              <w:bottom w:val="single" w:sz="8" w:color="auto"/>
            </w:tcBorders>
            <w:gridSpan w:val="2"/>
          </w:tcPr>
          <w:p>
            <w:pPr>
              <w:spacing w:after="0"/>
              <w:rPr>
                <w:sz w:val="24"/>
                <w:szCs w:val="24"/>
                <w:color w:val="auto"/>
              </w:rPr>
            </w:pPr>
          </w:p>
        </w:tc>
        <w:tc>
          <w:tcPr>
            <w:tcW w:w="420" w:type="dxa"/>
            <w:vAlign w:val="bottom"/>
            <w:gridSpan w:val="2"/>
          </w:tcPr>
          <w:p>
            <w:pPr>
              <w:spacing w:after="0"/>
              <w:rPr>
                <w:sz w:val="24"/>
                <w:szCs w:val="24"/>
                <w:color w:val="auto"/>
              </w:rPr>
            </w:pPr>
          </w:p>
        </w:tc>
      </w:tr>
      <w:tr>
        <w:trPr>
          <w:trHeight w:val="218"/>
        </w:trPr>
        <w:tc>
          <w:tcPr>
            <w:tcW w:w="3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Signature</w:t>
            </w:r>
          </w:p>
        </w:tc>
        <w:tc>
          <w:tcPr>
            <w:tcW w:w="2960" w:type="dxa"/>
            <w:vAlign w:val="bottom"/>
            <w:gridSpan w:val="5"/>
          </w:tcPr>
          <w:p>
            <w:pPr>
              <w:ind w:left="2280"/>
              <w:spacing w:after="0"/>
              <w:rPr>
                <w:sz w:val="20"/>
                <w:szCs w:val="20"/>
                <w:color w:val="auto"/>
              </w:rPr>
            </w:pPr>
            <w:r>
              <w:rPr>
                <w:rFonts w:ascii="Times New Roman" w:cs="Times New Roman" w:eastAsia="Times New Roman" w:hAnsi="Times New Roman"/>
                <w:sz w:val="18"/>
                <w:szCs w:val="18"/>
                <w:color w:val="auto"/>
                <w:w w:val="95"/>
              </w:rPr>
              <w:t>Signature</w:t>
            </w:r>
          </w:p>
        </w:tc>
      </w:tr>
      <w:tr>
        <w:trPr>
          <w:trHeight w:val="194"/>
        </w:trPr>
        <w:tc>
          <w:tcPr>
            <w:tcW w:w="4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300" w:type="dxa"/>
            <w:vAlign w:val="bottom"/>
            <w:tcBorders>
              <w:bottom w:val="single" w:sz="8" w:color="auto"/>
            </w:tcBorders>
          </w:tcPr>
          <w:p>
            <w:pPr>
              <w:spacing w:after="0"/>
              <w:rPr>
                <w:sz w:val="16"/>
                <w:szCs w:val="16"/>
                <w:color w:val="auto"/>
              </w:rPr>
            </w:pPr>
          </w:p>
        </w:tc>
        <w:tc>
          <w:tcPr>
            <w:tcW w:w="2780" w:type="dxa"/>
            <w:vAlign w:val="bottom"/>
          </w:tcPr>
          <w:p>
            <w:pPr>
              <w:spacing w:after="0"/>
              <w:rPr>
                <w:sz w:val="16"/>
                <w:szCs w:val="16"/>
                <w:color w:val="auto"/>
              </w:rPr>
            </w:pPr>
          </w:p>
        </w:tc>
        <w:tc>
          <w:tcPr>
            <w:tcW w:w="2480" w:type="dxa"/>
            <w:vAlign w:val="bottom"/>
            <w:gridSpan w:val="2"/>
          </w:tcPr>
          <w:p>
            <w:pPr>
              <w:ind w:left="2100"/>
              <w:spacing w:after="0" w:line="194" w:lineRule="exact"/>
              <w:rPr>
                <w:sz w:val="20"/>
                <w:szCs w:val="20"/>
                <w:color w:val="auto"/>
              </w:rPr>
            </w:pPr>
            <w:r>
              <w:rPr>
                <w:rFonts w:ascii="Times New Roman" w:cs="Times New Roman" w:eastAsia="Times New Roman" w:hAnsi="Times New Roman"/>
                <w:sz w:val="18"/>
                <w:szCs w:val="18"/>
                <w:color w:val="auto"/>
                <w:w w:val="92"/>
              </w:rPr>
              <w:t>Title:</w:t>
            </w:r>
          </w:p>
        </w:tc>
        <w:tc>
          <w:tcPr>
            <w:tcW w:w="360" w:type="dxa"/>
            <w:vAlign w:val="bottom"/>
            <w:tcBorders>
              <w:bottom w:val="single" w:sz="8" w:color="auto"/>
            </w:tcBorders>
            <w:gridSpan w:val="2"/>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3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Restricted Stock Unit Award Agreement and 2024 Equity Incentive Plan</w:t>
      </w:r>
    </w:p>
    <w:p>
      <w:pPr>
        <w:sectPr>
          <w:pgSz w:w="11900" w:h="16838" w:orient="portrait"/>
          <w:cols w:equalWidth="0" w:num="1">
            <w:col w:w="11240"/>
          </w:cols>
          <w:pgMar w:left="320" w:top="972"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1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4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(see attached)</w:t>
      </w:r>
    </w:p>
    <w:p>
      <w:pPr>
        <w:sectPr>
          <w:pgSz w:w="11900" w:h="16838" w:orient="portrait"/>
          <w:cols w:equalWidth="0" w:num="1">
            <w:col w:w="9019"/>
          </w:cols>
          <w:pgMar w:left="1440" w:top="1413" w:right="1440" w:bottom="1440" w:gutter="0" w:footer="0" w:header="0"/>
        </w:sectPr>
      </w:pPr>
    </w:p>
    <w:bookmarkStart w:id="60" w:name="page61"/>
    <w:bookmarkEnd w:id="60"/>
    <w:p>
      <w:pPr>
        <w:ind w:left="3960"/>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18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attached)</w:t>
      </w:r>
    </w:p>
    <w:p>
      <w:pPr>
        <w:sectPr>
          <w:pgSz w:w="11900" w:h="16838" w:orient="portrait"/>
          <w:cols w:equalWidth="0" w:num="1">
            <w:col w:w="9019"/>
          </w:cols>
          <w:pgMar w:left="1440" w:top="1413" w:right="1440"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HEALTHEQUITY,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RESTRICTED STOCK UNIT NOTICE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HealthEquity,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2024 Equity Incentive Plan, as amended and restated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Participant a Restricted Stock Unit Award for the number of shares of the Company’s Common Stock set forth below (the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The Restricted Stock Unit Award is subject to all of the terms and conditions as set forth in this Restricted Stock Unit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 the Restricted Stock Unit Award Agreement (attached hereto as Attachment I) and the Plan (attached hereto as Attachment II), both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incorporated herein in their entirety. Capitalized terms not explicitly defined herein but defined in the Plan or the Restricted Stock Unit Award Agreement will have the same definitions as in the Plan or the Restricted Stock Unit Award Agreement. If there is any conflict between the terms in this Grant Notice and the Plan, the terms of the Plan will control.</w:t>
      </w:r>
    </w:p>
    <w:p>
      <w:pPr>
        <w:sectPr>
          <w:pgSz w:w="11900" w:h="16838" w:orient="portrait"/>
          <w:cols w:equalWidth="0" w:num="1">
            <w:col w:w="11240"/>
          </w:cols>
          <w:pgMar w:left="320" w:top="1413" w:right="339" w:bottom="1440" w:gutter="0" w:footer="0" w:header="0"/>
        </w:sectPr>
      </w:pPr>
    </w:p>
    <w:p>
      <w:pPr>
        <w:spacing w:after="0" w:line="2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Name of Participant: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%%FIRST_NAME_MIDDLE_NAME_LAST_NAME%-%</w:t>
      </w:r>
    </w:p>
    <w:p>
      <w:pPr>
        <w:spacing w:after="0" w:line="200" w:lineRule="exact"/>
        <w:rPr>
          <w:sz w:val="20"/>
          <w:szCs w:val="20"/>
          <w:color w:val="auto"/>
        </w:rPr>
      </w:pPr>
    </w:p>
    <w:p>
      <w:pPr>
        <w:sectPr>
          <w:pgSz w:w="11900" w:h="16838" w:orient="portrait"/>
          <w:cols w:equalWidth="0" w:num="2">
            <w:col w:w="4280" w:space="720"/>
            <w:col w:w="6240"/>
          </w:cols>
          <w:pgMar w:left="320" w:top="1413" w:right="339" w:bottom="1440" w:gutter="0" w:footer="0" w:header="0"/>
          <w:type w:val="continuous"/>
        </w:sectPr>
      </w:pPr>
    </w:p>
    <w:p>
      <w:pPr>
        <w:spacing w:after="0" w:line="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%%OPTION_DATE,'Month DD, YYYY'%-%</w:t>
      </w:r>
    </w:p>
    <w:p>
      <w:pPr>
        <w:spacing w:after="0" w:line="200" w:lineRule="exact"/>
        <w:rPr>
          <w:sz w:val="20"/>
          <w:szCs w:val="20"/>
          <w:color w:val="auto"/>
        </w:rPr>
      </w:pPr>
    </w:p>
    <w:p>
      <w:pPr>
        <w:sectPr>
          <w:pgSz w:w="11900" w:h="16838" w:orient="portrait"/>
          <w:cols w:equalWidth="0" w:num="2">
            <w:col w:w="4280" w:space="720"/>
            <w:col w:w="6240"/>
          </w:cols>
          <w:pgMar w:left="320" w:top="1413" w:right="339" w:bottom="1440" w:gutter="0" w:footer="0" w:header="0"/>
          <w:type w:val="continuous"/>
        </w:sectPr>
      </w:pPr>
    </w:p>
    <w:p>
      <w:pPr>
        <w:spacing w:after="0" w:line="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%%VEST_BASE_DATE,'MONTH DD, YYYY'%-%</w:t>
      </w:r>
    </w:p>
    <w:p>
      <w:pPr>
        <w:spacing w:after="0" w:line="200" w:lineRule="exact"/>
        <w:rPr>
          <w:sz w:val="20"/>
          <w:szCs w:val="20"/>
          <w:color w:val="auto"/>
        </w:rPr>
      </w:pPr>
    </w:p>
    <w:p>
      <w:pPr>
        <w:sectPr>
          <w:pgSz w:w="11900" w:h="16838" w:orient="portrait"/>
          <w:cols w:equalWidth="0" w:num="2">
            <w:col w:w="4280" w:space="720"/>
            <w:col w:w="6240"/>
          </w:cols>
          <w:pgMar w:left="320" w:top="1413" w:right="339" w:bottom="1440" w:gutter="0" w:footer="0" w:header="0"/>
          <w:type w:val="continuous"/>
        </w:sectPr>
      </w:pPr>
    </w:p>
    <w:p>
      <w:pPr>
        <w:spacing w:after="0" w:line="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Number of Restricted Stock Units: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%%TOTAL_SHARES_GRANTED,'999,999,999'%-%</w:t>
      </w:r>
    </w:p>
    <w:p>
      <w:pPr>
        <w:spacing w:after="0" w:line="200" w:lineRule="exact"/>
        <w:rPr>
          <w:sz w:val="20"/>
          <w:szCs w:val="20"/>
          <w:color w:val="auto"/>
        </w:rPr>
      </w:pPr>
    </w:p>
    <w:p>
      <w:pPr>
        <w:sectPr>
          <w:pgSz w:w="11900" w:h="16838" w:orient="portrait"/>
          <w:cols w:equalWidth="0" w:num="2">
            <w:col w:w="4280" w:space="720"/>
            <w:col w:w="6240"/>
          </w:cols>
          <w:pgMar w:left="320" w:top="1413" w:right="339" w:bottom="1440" w:gutter="0" w:footer="0" w:header="0"/>
          <w:type w:val="continuous"/>
        </w:sectPr>
      </w:pPr>
    </w:p>
    <w:p>
      <w:pPr>
        <w:spacing w:after="0" w:line="370" w:lineRule="exact"/>
        <w:rPr>
          <w:sz w:val="20"/>
          <w:szCs w:val="20"/>
          <w:color w:val="auto"/>
        </w:rPr>
      </w:pPr>
    </w:p>
    <w:p>
      <w:pPr>
        <w:jc w:val="both"/>
        <w:ind w:left="1580" w:hanging="2591"/>
        <w:spacing w:after="0" w:line="254" w:lineRule="auto"/>
        <w:tabs>
          <w:tab w:leader="none" w:pos="156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The shares subject to the Award shall vest, subject to Participant’s Continuous Service as of each applicable vesting date, as follows: twenty-five percent (25%) of the shares initially subject to the Award shall vest on the first anniversary of the Vesting Commencement Date and six and one quarter percent (6.25%) of the shares initially subject to the Award shall vest thereafter on the first day of each calendar quarter for the twelve (12) calendar quarters following the first anniversary of the Vesting Commencement Date (in each case, rounded down to the nearest whole share except with respect to the last vesting period, with respect to which all remaining shares shall vest).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on a Change in</w:t>
      </w:r>
    </w:p>
    <w:p>
      <w:pPr>
        <w:spacing w:after="0" w:line="9" w:lineRule="exact"/>
        <w:rPr>
          <w:sz w:val="20"/>
          <w:szCs w:val="20"/>
          <w:color w:val="auto"/>
        </w:rPr>
      </w:pPr>
    </w:p>
    <w:p>
      <w:pPr>
        <w:jc w:val="both"/>
        <w:ind w:left="900" w:hanging="2591"/>
        <w:spacing w:after="0" w:line="252"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Control:</w:t>
      </w:r>
      <w:r>
        <w:rPr>
          <w:sz w:val="20"/>
          <w:szCs w:val="20"/>
          <w:color w:val="auto"/>
        </w:rPr>
        <w:tab/>
      </w:r>
      <w:r>
        <w:rPr>
          <w:rFonts w:ascii="Times New Roman" w:cs="Times New Roman" w:eastAsia="Times New Roman" w:hAnsi="Times New Roman"/>
          <w:sz w:val="18"/>
          <w:szCs w:val="18"/>
          <w:color w:val="auto"/>
        </w:rPr>
        <w:t>If a Change in Control occurs during Participant’s Continuous Service, the Restricted Stock Unit Award shall be treated in accordance with terms of Section 9(d) of the Plan. Notwithstanding Section 9(d)(ii) of the Plan, if the surviving corporation or acquiring corporation (or the surviving or acquiring corporation’s parent company) assumes or continues the Restricted Stock Unit Award or substitutes the Restricted Stock Unit Award for a similar stock award in accordance with Section 9(c)(i) of the Plan (such units, the “</w:t>
      </w:r>
      <w:r>
        <w:rPr>
          <w:rFonts w:ascii="Times New Roman" w:cs="Times New Roman" w:eastAsia="Times New Roman" w:hAnsi="Times New Roman"/>
          <w:sz w:val="18"/>
          <w:szCs w:val="18"/>
          <w:b w:val="1"/>
          <w:bCs w:val="1"/>
          <w:i w:val="1"/>
          <w:iCs w:val="1"/>
          <w:color w:val="auto"/>
        </w:rPr>
        <w:t>Eligible Restricted Stock Units</w:t>
      </w:r>
      <w:r>
        <w:rPr>
          <w:rFonts w:ascii="Times New Roman" w:cs="Times New Roman" w:eastAsia="Times New Roman" w:hAnsi="Times New Roman"/>
          <w:sz w:val="18"/>
          <w:szCs w:val="18"/>
          <w:color w:val="auto"/>
        </w:rPr>
        <w:t>”) and Participant’s Continuous Service is terminated due to Participant’s death or Disability during the twenty-four (24)-month period commencing on such Change in Control, all Eligible Restricted Stock Units that have not previously vested shall vest as of the date of such termination.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on a Termination</w:t>
      </w:r>
    </w:p>
    <w:p>
      <w:pPr>
        <w:spacing w:after="0" w:line="31" w:lineRule="exact"/>
        <w:rPr>
          <w:sz w:val="20"/>
          <w:szCs w:val="20"/>
          <w:color w:val="auto"/>
        </w:rPr>
      </w:pPr>
    </w:p>
    <w:p>
      <w:pPr>
        <w:jc w:val="both"/>
        <w:ind w:left="2300" w:hanging="2591"/>
        <w:spacing w:after="0" w:line="253" w:lineRule="auto"/>
        <w:tabs>
          <w:tab w:leader="none" w:pos="2280" w:val="left"/>
        </w:tabs>
        <w:rPr>
          <w:sz w:val="20"/>
          <w:szCs w:val="20"/>
          <w:color w:val="auto"/>
        </w:rPr>
      </w:pPr>
      <w:r>
        <w:rPr>
          <w:rFonts w:ascii="Times New Roman" w:cs="Times New Roman" w:eastAsia="Times New Roman" w:hAnsi="Times New Roman"/>
          <w:sz w:val="18"/>
          <w:szCs w:val="18"/>
          <w:b w:val="1"/>
          <w:bCs w:val="1"/>
          <w:color w:val="auto"/>
        </w:rPr>
        <w:t>Due to Death or Disability:</w:t>
      </w:r>
      <w:r>
        <w:rPr>
          <w:sz w:val="20"/>
          <w:szCs w:val="20"/>
          <w:color w:val="auto"/>
        </w:rPr>
        <w:tab/>
      </w:r>
      <w:r>
        <w:rPr>
          <w:rFonts w:ascii="Times New Roman" w:cs="Times New Roman" w:eastAsia="Times New Roman" w:hAnsi="Times New Roman"/>
          <w:sz w:val="18"/>
          <w:szCs w:val="18"/>
          <w:color w:val="auto"/>
        </w:rPr>
        <w:t>If, prior to a Change in Control, Participant’s Continuous Service terminates as a result of Participant’s death or Disability, subject to Participant’s (or Participant’s legal representative’s) execution and delivery of the Company’s standard form of a general release of claims in favor of the Company and its Affiliates and such release becoming irrevocable no later than sixty (60) days following such termination (the “</w:t>
      </w:r>
      <w:r>
        <w:rPr>
          <w:rFonts w:ascii="Times New Roman" w:cs="Times New Roman" w:eastAsia="Times New Roman" w:hAnsi="Times New Roman"/>
          <w:sz w:val="18"/>
          <w:szCs w:val="18"/>
          <w:b w:val="1"/>
          <w:bCs w:val="1"/>
          <w:i w:val="1"/>
          <w:iCs w:val="1"/>
          <w:color w:val="auto"/>
        </w:rPr>
        <w:t>Release Condition</w:t>
      </w:r>
      <w:r>
        <w:rPr>
          <w:rFonts w:ascii="Times New Roman" w:cs="Times New Roman" w:eastAsia="Times New Roman" w:hAnsi="Times New Roman"/>
          <w:sz w:val="18"/>
          <w:szCs w:val="18"/>
          <w:color w:val="auto"/>
        </w:rPr>
        <w:t>”), all Restricted Stock Units that have not previously vested shall vest as of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137120264.v2</w:t>
      </w:r>
    </w:p>
    <w:p>
      <w:pPr>
        <w:sectPr>
          <w:pgSz w:w="11900" w:h="16838" w:orient="portrait"/>
          <w:cols w:equalWidth="0" w:num="1">
            <w:col w:w="11240"/>
          </w:cols>
          <w:pgMar w:left="320" w:top="1413"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Treatment on a Pre-CIC</w:t>
      </w:r>
    </w:p>
    <w:p>
      <w:pPr>
        <w:spacing w:after="0" w:line="31" w:lineRule="exact"/>
        <w:rPr>
          <w:sz w:val="20"/>
          <w:szCs w:val="20"/>
          <w:color w:val="auto"/>
        </w:rPr>
      </w:pPr>
    </w:p>
    <w:p>
      <w:pPr>
        <w:jc w:val="both"/>
        <w:ind w:left="2080" w:hanging="2591"/>
        <w:spacing w:after="0" w:line="252" w:lineRule="auto"/>
        <w:tabs>
          <w:tab w:leader="none" w:pos="2060" w:val="left"/>
        </w:tabs>
        <w:rPr>
          <w:sz w:val="20"/>
          <w:szCs w:val="20"/>
          <w:color w:val="auto"/>
        </w:rPr>
      </w:pPr>
      <w:r>
        <w:rPr>
          <w:rFonts w:ascii="Times New Roman" w:cs="Times New Roman" w:eastAsia="Times New Roman" w:hAnsi="Times New Roman"/>
          <w:sz w:val="18"/>
          <w:szCs w:val="18"/>
          <w:b w:val="1"/>
          <w:bCs w:val="1"/>
          <w:color w:val="auto"/>
        </w:rPr>
        <w:t>Qualifying Termination:</w:t>
      </w:r>
      <w:r>
        <w:rPr>
          <w:sz w:val="20"/>
          <w:szCs w:val="20"/>
          <w:color w:val="auto"/>
        </w:rPr>
        <w:tab/>
      </w:r>
      <w:r>
        <w:rPr>
          <w:rFonts w:ascii="Times New Roman" w:cs="Times New Roman" w:eastAsia="Times New Roman" w:hAnsi="Times New Roman"/>
          <w:sz w:val="18"/>
          <w:szCs w:val="18"/>
          <w:color w:val="auto"/>
        </w:rPr>
        <w:t>If, prior to a Change in Control, Participant’s Continuous Service is terminated by the Company (or any successor or Affiliate) without Cause (and other than as a result of Participant's death or Disability) or by Participant for Good Reason (each, a “</w:t>
      </w:r>
      <w:r>
        <w:rPr>
          <w:rFonts w:ascii="Times New Roman" w:cs="Times New Roman" w:eastAsia="Times New Roman" w:hAnsi="Times New Roman"/>
          <w:sz w:val="18"/>
          <w:szCs w:val="18"/>
          <w:b w:val="1"/>
          <w:bCs w:val="1"/>
          <w:i w:val="1"/>
          <w:iCs w:val="1"/>
          <w:color w:val="auto"/>
        </w:rPr>
        <w:t>Pre-CIC Qualifying Termination</w:t>
      </w:r>
      <w:r>
        <w:rPr>
          <w:rFonts w:ascii="Times New Roman" w:cs="Times New Roman" w:eastAsia="Times New Roman" w:hAnsi="Times New Roman"/>
          <w:sz w:val="18"/>
          <w:szCs w:val="18"/>
          <w:color w:val="auto"/>
        </w:rPr>
        <w:t>”), subject to Participant’s satisfaction of the Release Condition and Participant’s continued compliance with the restrictive covenants set forth in the Team Member Confidentiality Agreement, any Restricted Stock Units that would have vested within the nine (9) -month period following the date of such Pre-CIC Qualifying Termination shall vest as of the date of such termination.</w:t>
      </w:r>
    </w:p>
    <w:p>
      <w:pPr>
        <w:spacing w:after="0" w:line="145" w:lineRule="exact"/>
        <w:rPr>
          <w:sz w:val="20"/>
          <w:szCs w:val="20"/>
          <w:color w:val="auto"/>
        </w:rPr>
      </w:pPr>
    </w:p>
    <w:p>
      <w:pPr>
        <w:jc w:val="both"/>
        <w:ind w:left="1720" w:hanging="2591"/>
        <w:spacing w:after="0" w:line="282" w:lineRule="auto"/>
        <w:tabs>
          <w:tab w:leader="none" w:pos="170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Subject to any change in respect of a Capitalization Adjustment, one share of Common Stock will be issued for each Restricted Stock Unit that vests at the time set forth in Section 6 of the Restricted Stock Unit Award Agreement.</w:t>
      </w:r>
    </w:p>
    <w:p>
      <w:pPr>
        <w:spacing w:after="0" w:line="162" w:lineRule="exact"/>
        <w:rPr>
          <w:sz w:val="20"/>
          <w:szCs w:val="20"/>
          <w:color w:val="auto"/>
        </w:rPr>
      </w:pPr>
    </w:p>
    <w:p>
      <w:pPr>
        <w:jc w:val="both"/>
        <w:ind w:left="1980" w:hanging="2591"/>
        <w:spacing w:after="0" w:line="254" w:lineRule="auto"/>
        <w:tabs>
          <w:tab w:leader="none" w:pos="1960" w:val="left"/>
        </w:tabs>
        <w:rPr>
          <w:sz w:val="20"/>
          <w:szCs w:val="20"/>
          <w:color w:val="auto"/>
        </w:rPr>
      </w:pPr>
      <w:r>
        <w:rPr>
          <w:rFonts w:ascii="Times New Roman" w:cs="Times New Roman" w:eastAsia="Times New Roman" w:hAnsi="Times New Roman"/>
          <w:sz w:val="18"/>
          <w:szCs w:val="18"/>
          <w:b w:val="1"/>
          <w:bCs w:val="1"/>
          <w:color w:val="auto"/>
        </w:rPr>
        <w:t>Restrictive Covenants:</w:t>
      </w:r>
      <w:r>
        <w:rPr>
          <w:sz w:val="20"/>
          <w:szCs w:val="20"/>
          <w:color w:val="auto"/>
        </w:rPr>
        <w:tab/>
      </w:r>
      <w:r>
        <w:rPr>
          <w:rFonts w:ascii="Times New Roman" w:cs="Times New Roman" w:eastAsia="Times New Roman" w:hAnsi="Times New Roman"/>
          <w:sz w:val="18"/>
          <w:szCs w:val="18"/>
          <w:color w:val="auto"/>
        </w:rPr>
        <w:t>As a condition of the grant of Restricted Stock Units hereunder, the undersigned Participant hereby affirms all confidentiality, non-interference, invention assignment or similar covenants previously made by Participant in favor of the Company and acknowledges that such covenants are independent obligations of Participant (such covenants, the “</w:t>
      </w:r>
      <w:r>
        <w:rPr>
          <w:rFonts w:ascii="Times New Roman" w:cs="Times New Roman" w:eastAsia="Times New Roman" w:hAnsi="Times New Roman"/>
          <w:sz w:val="18"/>
          <w:szCs w:val="18"/>
          <w:b w:val="1"/>
          <w:bCs w:val="1"/>
          <w:i w:val="1"/>
          <w:iCs w:val="1"/>
          <w:color w:val="auto"/>
        </w:rPr>
        <w:t>Team Member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Participant hereby acknowledges and agrees that this Grant Notice and the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Confidentiality Agreement will be considered separate contracts, and the Team Member Confidentiality Agreement will survive the termination of this Grant Notice for any reason.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9" w:lineRule="exact"/>
        <w:rPr>
          <w:sz w:val="20"/>
          <w:szCs w:val="20"/>
          <w:color w:val="auto"/>
        </w:rPr>
      </w:pPr>
    </w:p>
    <w:p>
      <w:pPr>
        <w:jc w:val="both"/>
        <w:ind w:left="1480" w:hanging="2591"/>
        <w:spacing w:after="0" w:line="250"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Guidelines, Etc.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Restricted Stock Units (and any compensation paid or shares issued in respect of the Restricted Stock Units) are subject to (i) any share ownership guidelines to which Participant may be subject, and (ii) any insider trading policy adopted by the Company and any applicable law regulating trading by employees.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Terms/</w:t>
      </w:r>
    </w:p>
    <w:p>
      <w:pPr>
        <w:spacing w:after="0" w:line="9" w:lineRule="exact"/>
        <w:rPr>
          <w:sz w:val="20"/>
          <w:szCs w:val="20"/>
          <w:color w:val="auto"/>
        </w:rPr>
      </w:pPr>
    </w:p>
    <w:p>
      <w:pPr>
        <w:jc w:val="both"/>
        <w:ind w:left="1900" w:hanging="2591"/>
        <w:spacing w:after="0" w:line="251" w:lineRule="auto"/>
        <w:tabs>
          <w:tab w:leader="none" w:pos="1880" w:val="left"/>
        </w:tabs>
        <w:rPr>
          <w:sz w:val="20"/>
          <w:szCs w:val="20"/>
          <w:color w:val="auto"/>
        </w:rPr>
      </w:pPr>
      <w:r>
        <w:rPr>
          <w:rFonts w:ascii="Times New Roman" w:cs="Times New Roman" w:eastAsia="Times New Roman" w:hAnsi="Times New Roman"/>
          <w:sz w:val="18"/>
          <w:szCs w:val="18"/>
          <w:b w:val="1"/>
          <w:bCs w:val="1"/>
          <w:color w:val="auto"/>
        </w:rPr>
        <w:t>Acknowledgements:</w:t>
      </w:r>
      <w:r>
        <w:rPr>
          <w:sz w:val="20"/>
          <w:szCs w:val="20"/>
          <w:color w:val="auto"/>
        </w:rPr>
        <w:tab/>
      </w:r>
      <w:r>
        <w:rPr>
          <w:rFonts w:ascii="Times New Roman" w:cs="Times New Roman" w:eastAsia="Times New Roman" w:hAnsi="Times New Roman"/>
          <w:sz w:val="18"/>
          <w:szCs w:val="18"/>
          <w:color w:val="auto"/>
        </w:rPr>
        <w:t>By signing below or, if applicable, electronically accepting this Restricted Stock Unit Award, the undersigned Participant acknowledges having received and reviewed in their entirety, and fully understands and agrees to all provisions of, this Grant Notice, the Restricted Stock Unit Award Agreement, the Plan and the Team Member Confidentiality Agreement. Participant acknowledges and agrees that this Grant Notice and the Restricted Stock Unit Award Agreement may not be modified, amended or revised except as provided in the Plan. Participant further acknowledges that, as of the Date of Grant, this Grant Notice, the Restricted Stock Unit Award Agreement, the Plan and the Team Member Confidentiality Agreement set forth the entire agreement and understanding between Participant and the Company regarding the acquisition of the Common Stock pursuant to the Award specified above and supersede all prior oral and written agreements, promises and/or representations on that subject with the exception of (i) Restricted Stock Units previously granted and delivered to Participant, (ii) any applicable compensation recovery policy that is adopted by the Company or is otherwise required by applicable law, and (iii) any written employment or severance arrangement that would provide for vesting acceleration of this Restricted Stock Unit Award upon the terms and conditions set forth therein. By accepting this Restricted Stock Unit Award, Participant consents to receive such documents by electronic delivery and to participate in the Plan through an online or electronic system established and maintained by the Company or another third party designated by the Company.</w:t>
      </w:r>
    </w:p>
    <w:p>
      <w:pPr>
        <w:sectPr>
          <w:pgSz w:w="11900" w:h="16838" w:orient="portrait"/>
          <w:cols w:equalWidth="0" w:num="1">
            <w:col w:w="11240"/>
          </w:cols>
          <w:pgMar w:left="320" w:top="1413" w:right="339" w:bottom="1440" w:gutter="0" w:footer="0" w:header="0"/>
        </w:sectPr>
      </w:pPr>
    </w:p>
    <w:bookmarkStart w:id="63" w:name="page64"/>
    <w:bookmarkEnd w:id="63"/>
    <w:p>
      <w:pPr>
        <w:jc w:val="both"/>
        <w:ind w:left="2280" w:hanging="2591"/>
        <w:spacing w:after="0" w:line="252" w:lineRule="auto"/>
        <w:tabs>
          <w:tab w:leader="none" w:pos="2260" w:val="left"/>
        </w:tabs>
        <w:rPr>
          <w:sz w:val="20"/>
          <w:szCs w:val="20"/>
          <w:color w:val="auto"/>
        </w:rPr>
      </w:pPr>
      <w:r>
        <w:rPr>
          <w:rFonts w:ascii="Times New Roman" w:cs="Times New Roman" w:eastAsia="Times New Roman" w:hAnsi="Times New Roman"/>
          <w:sz w:val="18"/>
          <w:szCs w:val="18"/>
          <w:b w:val="1"/>
          <w:bCs w:val="1"/>
          <w:color w:val="auto"/>
        </w:rPr>
        <w:t>Withholding Tax Election:</w:t>
      </w:r>
      <w:r>
        <w:rPr>
          <w:sz w:val="20"/>
          <w:szCs w:val="20"/>
          <w:color w:val="auto"/>
        </w:rPr>
        <w:tab/>
      </w:r>
      <w:r>
        <w:rPr>
          <w:rFonts w:ascii="Times New Roman" w:cs="Times New Roman" w:eastAsia="Times New Roman" w:hAnsi="Times New Roman"/>
          <w:sz w:val="18"/>
          <w:szCs w:val="18"/>
          <w:color w:val="auto"/>
        </w:rPr>
        <w:t>Participant understands that by accepting this Restricted Stock Unit Award, Participant hereby (i) affirmatively elects (the “</w:t>
      </w:r>
      <w:r>
        <w:rPr>
          <w:rFonts w:ascii="Times New Roman" w:cs="Times New Roman" w:eastAsia="Times New Roman" w:hAnsi="Times New Roman"/>
          <w:sz w:val="18"/>
          <w:szCs w:val="18"/>
          <w:b w:val="1"/>
          <w:bCs w:val="1"/>
          <w:i w:val="1"/>
          <w:iCs w:val="1"/>
          <w:color w:val="auto"/>
        </w:rPr>
        <w:t>Sell to Cover Election</w:t>
      </w:r>
      <w:r>
        <w:rPr>
          <w:rFonts w:ascii="Times New Roman" w:cs="Times New Roman" w:eastAsia="Times New Roman" w:hAnsi="Times New Roman"/>
          <w:sz w:val="18"/>
          <w:szCs w:val="18"/>
          <w:color w:val="auto"/>
        </w:rPr>
        <w:t>”), effective as of the Date of Grant, to sell that number of shares of Common Stock determined in accordance with Section 10(a) of the Restricted Stock Unit Award Agreement, and to allow the Agent (as defined in the Restricted Stock Unit Award Agreement) to remit the cash proceeds of such sale to the Company as more specifically set forth in Section 10(a) of the Restricted Stock Unit Award Agreement; (ii) directs the Company to make a cash payment equal to the required tax withholding from the cash proceeds of such sale directly to the appropriate taxing authorities; and (iii) represents and warrants that (x) Participant has carefully reviewed Section 10(a) of the Restricted Stock Unit Award Agreement, (y) on the date Participant accepts this Restricted Stock Unit Award, he or she is not aware of any material, nonpublic information with respect to the Company or any securities of the Company, is not subject to any legal, regulatory or contractual restriction that would prevent the Agent from conducting sales, does not have, and will not attempt to exercise, authority, influence or control over any sales of shares of Common Stock effected by the Agent pursuant to the Restricted Stock Unit Award Agreement, and is entering into the Restricted Stock Unit Award Agreement and the Sell to Cover Election in good faith and not as part of a plan or scheme to evade the prohibitions of Rule 10b5-1 (regarding trading of the Company’s securities on the basis of material nonpublic information)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(z) it is Participant’s intent that the Sell to Cover Election comply with the requirements of Rule 10b5-1(c)(1)(i)(B) under the Exchange Act and be interpreted to comply with the requirements of Rule 10b5-1(c) under the Exchange Act.</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Award of Restricted Stock Units is subject to Participant’s returning a signed copy of this Grant Notice to the Company or, if applicable, electronically accepting this Award through the E*Trade website. Participant shall forfeit the Restricted Stock Units if Participant does not execute this Grant Notice or otherwise accept the Restricted Stock Units within 360 days of the Vesting Commencement Date.</w:t>
      </w:r>
    </w:p>
    <w:p>
      <w:pPr>
        <w:spacing w:after="0" w:line="265"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HealthEquity, Inc.</w:t>
        <w:tab/>
        <w:t>Participant</w:t>
      </w:r>
    </w:p>
    <w:p>
      <w:pPr>
        <w:spacing w:after="0" w:line="3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143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-7620</wp:posOffset>
            </wp:positionV>
            <wp:extent cx="1143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92" w:lineRule="exact"/>
        <w:rPr>
          <w:sz w:val="20"/>
          <w:szCs w:val="20"/>
          <w:color w:val="auto"/>
        </w:rPr>
      </w:pPr>
    </w:p>
    <w:p>
      <w:pPr>
        <w:ind w:left="1300"/>
        <w:spacing w:after="0"/>
        <w:tabs>
          <w:tab w:leader="none" w:pos="21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7"/>
          <w:szCs w:val="17"/>
          <w:color w:val="auto"/>
        </w:rPr>
        <w:t>Signature</w:t>
      </w:r>
    </w:p>
    <w:p>
      <w:pPr>
        <w:spacing w:after="0" w:line="32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-7620</wp:posOffset>
            </wp:positionV>
            <wp:extent cx="1143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-7620</wp:posOffset>
            </wp:positionV>
            <wp:extent cx="1143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-7620</wp:posOffset>
            </wp:positionV>
            <wp:extent cx="1143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Attachments: </w:t>
      </w:r>
      <w:r>
        <w:rPr>
          <w:rFonts w:ascii="Times New Roman" w:cs="Times New Roman" w:eastAsia="Times New Roman" w:hAnsi="Times New Roman"/>
          <w:sz w:val="18"/>
          <w:szCs w:val="18"/>
          <w:color w:val="auto"/>
        </w:rPr>
        <w:t>Restricted Stock Unit Award Agreement and 2024 Equity Incentive Plan</w:t>
      </w:r>
    </w:p>
    <w:p>
      <w:pPr>
        <w:sectPr>
          <w:pgSz w:w="11900" w:h="16838" w:orient="portrait"/>
          <w:cols w:equalWidth="0" w:num="1">
            <w:col w:w="11240"/>
          </w:cols>
          <w:pgMar w:left="320" w:top="1413" w:right="339" w:bottom="1440" w:gutter="0" w:footer="0" w:header="0"/>
        </w:sectPr>
      </w:pPr>
    </w:p>
    <w:bookmarkStart w:id="64" w:name="page65"/>
    <w:bookmarkEnd w:id="64"/>
    <w:p>
      <w:pPr>
        <w:ind w:left="3800"/>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18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13" w:right="1440" w:bottom="1440" w:gutter="0" w:footer="0" w:header="0"/>
        </w:sectPr>
      </w:pPr>
    </w:p>
    <w:bookmarkStart w:id="65" w:name="page66"/>
    <w:bookmarkEnd w:id="65"/>
    <w:p>
      <w:pPr>
        <w:spacing w:after="0" w:line="2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1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40" w:right="1440"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HEALTHEQUITY,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 NOTICE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HealthEquity,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2024 Equity Incentive Plan, as amended and restated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Participant a Restricted Stock Unit Award for the number of shares of the Company’s Common Stock set forth below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The Restricted Stock Unit Award is subject to all of the terms and conditions as set forth in this Performance-Based Restricted Stock Unit Notice (this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in the Performance-Based Restricted Stock Unit Award Agreement (attached hereto as Attachment I) and the Plan (attached hereto as Attachment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II), both of which are incorporated herein in their entirety. Capitalized terms not explicitly defined herein but defined in the Plan or the Performance-Based Restricted Stock Unit Award Agreement will have the same definitions as in the Plan or the Restricted Stock Unit Award Agreement. If there is any conflict between the terms in this Grant Notice and the Plan, the terms of the Plan will control.</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Name of Participant:</w:t>
            </w:r>
          </w:p>
        </w:tc>
        <w:tc>
          <w:tcPr>
            <w:tcW w:w="488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%%FIRST_NAME_MIDDLE_NAME_LAST_NAME%-%</w:t>
            </w:r>
          </w:p>
        </w:tc>
      </w:tr>
      <w:tr>
        <w:trPr>
          <w:trHeight w:val="58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488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%%OPTION_DATE,'Month DD, YYYY'%-%</w:t>
            </w:r>
          </w:p>
        </w:tc>
      </w:tr>
      <w:tr>
        <w:trPr>
          <w:trHeight w:val="581"/>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Period:</w:t>
            </w:r>
          </w:p>
        </w:tc>
        <w:tc>
          <w:tcPr>
            <w:tcW w:w="4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25, 2026 through January 31, 2029]</w:t>
            </w:r>
          </w:p>
        </w:tc>
      </w:tr>
      <w:tr>
        <w:trPr>
          <w:trHeight w:val="581"/>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Target Number of Restricted Stock Units:</w:t>
            </w:r>
          </w:p>
        </w:tc>
        <w:tc>
          <w:tcPr>
            <w:tcW w:w="488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%%TOTAL_SHARES_GRANTED,'999,999,999'%-%</w:t>
            </w:r>
          </w:p>
        </w:tc>
      </w:tr>
    </w:tbl>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Relative TSR</w:t>
      </w:r>
    </w:p>
    <w:p>
      <w:pPr>
        <w:spacing w:after="0" w:line="31" w:lineRule="exact"/>
        <w:rPr>
          <w:sz w:val="20"/>
          <w:szCs w:val="20"/>
          <w:color w:val="auto"/>
        </w:rPr>
      </w:pPr>
    </w:p>
    <w:p>
      <w:pPr>
        <w:jc w:val="both"/>
        <w:ind w:left="1720" w:hanging="2539"/>
        <w:spacing w:after="0" w:line="253" w:lineRule="auto"/>
        <w:tabs>
          <w:tab w:leader="none" w:pos="1700" w:val="left"/>
        </w:tabs>
        <w:rPr>
          <w:sz w:val="20"/>
          <w:szCs w:val="20"/>
          <w:color w:val="auto"/>
        </w:rPr>
      </w:pPr>
      <w:r>
        <w:rPr>
          <w:rFonts w:ascii="Times New Roman" w:cs="Times New Roman" w:eastAsia="Times New Roman" w:hAnsi="Times New Roman"/>
          <w:sz w:val="18"/>
          <w:szCs w:val="18"/>
          <w:b w:val="1"/>
          <w:bCs w:val="1"/>
          <w:color w:val="auto"/>
        </w:rPr>
        <w:t>Vesting Condition:</w:t>
      </w:r>
      <w:r>
        <w:rPr>
          <w:sz w:val="20"/>
          <w:szCs w:val="20"/>
          <w:color w:val="auto"/>
        </w:rPr>
        <w:tab/>
      </w:r>
      <w:r>
        <w:rPr>
          <w:rFonts w:ascii="Times New Roman" w:cs="Times New Roman" w:eastAsia="Times New Roman" w:hAnsi="Times New Roman"/>
          <w:sz w:val="18"/>
          <w:szCs w:val="18"/>
          <w:color w:val="auto"/>
        </w:rPr>
        <w:t>Seventy-five percent (75%) of the target number of Restricted Stock Units shall be subject to the Relative TSR Vesting Condition. The shares subject to the Relative TSR Vesting Condition shall vest based on the Company’s relative Total Shareholder Return for the Performance Period as compared to the Total Shareholder Return of the members of the Comparator Group, as follows, subject to Participant’s Continuous Service through the Certification Date (as defined below):</w:t>
      </w:r>
    </w:p>
    <w:p>
      <w:pPr>
        <w:spacing w:after="0" w:line="174" w:lineRule="exact"/>
        <w:rPr>
          <w:sz w:val="20"/>
          <w:szCs w:val="20"/>
          <w:color w:val="auto"/>
        </w:rPr>
      </w:pPr>
    </w:p>
    <w:tbl>
      <w:tblPr>
        <w:tblLayout w:type="fixed"/>
        <w:tblInd w:w="2610" w:type="dxa"/>
        <w:tblCellMar>
          <w:top w:w="0" w:type="dxa"/>
          <w:left w:w="0" w:type="dxa"/>
          <w:bottom w:w="0" w:type="dxa"/>
          <w:right w:w="0" w:type="dxa"/>
        </w:tblCellMar>
      </w:tblPr>
      <w:tr>
        <w:trPr>
          <w:trHeight w:val="189"/>
        </w:trPr>
        <w:tc>
          <w:tcPr>
            <w:tcW w:w="2840" w:type="dxa"/>
            <w:vAlign w:val="bottom"/>
            <w:tcBorders>
              <w:top w:val="single" w:sz="8" w:color="auto"/>
              <w:left w:val="single" w:sz="8" w:color="auto"/>
              <w:right w:val="single" w:sz="8" w:color="auto"/>
            </w:tcBorders>
            <w:shd w:val="clear" w:color="auto" w:fill="B4C6E7"/>
          </w:tcPr>
          <w:p>
            <w:pPr>
              <w:ind w:left="7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Relative Total Shareholder</w:t>
            </w:r>
          </w:p>
        </w:tc>
        <w:tc>
          <w:tcPr>
            <w:tcW w:w="2840" w:type="dxa"/>
            <w:vAlign w:val="bottom"/>
            <w:tcBorders>
              <w:top w:val="single" w:sz="8" w:color="auto"/>
              <w:right w:val="single" w:sz="8" w:color="auto"/>
            </w:tcBorders>
            <w:shd w:val="clear" w:color="auto" w:fill="B4C6E7"/>
          </w:tcPr>
          <w:p>
            <w:pPr>
              <w:jc w:val="center"/>
              <w:ind w:left="550"/>
              <w:spacing w:after="0" w:line="189" w:lineRule="exact"/>
              <w:rPr>
                <w:sz w:val="20"/>
                <w:szCs w:val="20"/>
                <w:color w:val="auto"/>
              </w:rPr>
            </w:pPr>
            <w:r>
              <w:rPr>
                <w:rFonts w:ascii="Times New Roman" w:cs="Times New Roman" w:eastAsia="Times New Roman" w:hAnsi="Times New Roman"/>
                <w:sz w:val="18"/>
                <w:szCs w:val="18"/>
                <w:b w:val="1"/>
                <w:bCs w:val="1"/>
                <w:color w:val="auto"/>
              </w:rPr>
              <w:t>Percentage of Restricted</w:t>
            </w:r>
          </w:p>
        </w:tc>
      </w:tr>
      <w:tr>
        <w:trPr>
          <w:trHeight w:val="180"/>
        </w:trPr>
        <w:tc>
          <w:tcPr>
            <w:tcW w:w="2840" w:type="dxa"/>
            <w:vAlign w:val="bottom"/>
            <w:tcBorders>
              <w:left w:val="single" w:sz="8" w:color="auto"/>
              <w:right w:val="single" w:sz="8" w:color="auto"/>
            </w:tcBorders>
            <w:shd w:val="clear" w:color="auto" w:fill="B4C6E7"/>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Return</w:t>
            </w:r>
          </w:p>
        </w:tc>
        <w:tc>
          <w:tcPr>
            <w:tcW w:w="2840" w:type="dxa"/>
            <w:vAlign w:val="bottom"/>
            <w:tcBorders>
              <w:right w:val="single" w:sz="8" w:color="auto"/>
            </w:tcBorders>
            <w:shd w:val="clear" w:color="auto" w:fill="B4C6E7"/>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Stock Units that Satisfy the</w:t>
            </w:r>
          </w:p>
        </w:tc>
      </w:tr>
      <w:tr>
        <w:trPr>
          <w:trHeight w:val="238"/>
        </w:trPr>
        <w:tc>
          <w:tcPr>
            <w:tcW w:w="2840" w:type="dxa"/>
            <w:vAlign w:val="bottom"/>
            <w:tcBorders>
              <w:left w:val="single" w:sz="8" w:color="auto"/>
              <w:right w:val="single" w:sz="8" w:color="auto"/>
            </w:tcBorders>
            <w:shd w:val="clear" w:color="auto" w:fill="B4C6E7"/>
          </w:tcPr>
          <w:p>
            <w:pPr>
              <w:spacing w:after="0"/>
              <w:rPr>
                <w:sz w:val="20"/>
                <w:szCs w:val="20"/>
                <w:color w:val="auto"/>
              </w:rPr>
            </w:pPr>
          </w:p>
        </w:tc>
        <w:tc>
          <w:tcPr>
            <w:tcW w:w="2840" w:type="dxa"/>
            <w:vAlign w:val="bottom"/>
            <w:tcBorders>
              <w:right w:val="single" w:sz="8" w:color="auto"/>
            </w:tcBorders>
            <w:shd w:val="clear" w:color="auto" w:fill="B4C6E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Relative TSR Vesting Condition</w:t>
            </w:r>
          </w:p>
        </w:tc>
      </w:tr>
      <w:tr>
        <w:trPr>
          <w:trHeight w:val="351"/>
        </w:trPr>
        <w:tc>
          <w:tcPr>
            <w:tcW w:w="2840" w:type="dxa"/>
            <w:vAlign w:val="bottom"/>
            <w:tcBorders>
              <w:left w:val="single" w:sz="8" w:color="auto"/>
              <w:right w:val="single" w:sz="8" w:color="auto"/>
            </w:tcBorders>
            <w:shd w:val="clear" w:color="auto" w:fill="B4C6E7"/>
          </w:tcPr>
          <w:p>
            <w:pPr>
              <w:spacing w:after="0"/>
              <w:rPr>
                <w:sz w:val="24"/>
                <w:szCs w:val="24"/>
                <w:color w:val="auto"/>
              </w:rPr>
            </w:pPr>
          </w:p>
        </w:tc>
        <w:tc>
          <w:tcPr>
            <w:tcW w:w="2840" w:type="dxa"/>
            <w:vAlign w:val="bottom"/>
            <w:tcBorders>
              <w:right w:val="single" w:sz="8" w:color="auto"/>
            </w:tcBorders>
            <w:shd w:val="clear" w:color="auto" w:fill="B4C6E7"/>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 of Target)</w:t>
            </w:r>
          </w:p>
        </w:tc>
      </w:tr>
      <w:tr>
        <w:trPr>
          <w:trHeight w:val="189"/>
        </w:trPr>
        <w:tc>
          <w:tcPr>
            <w:tcW w:w="2840" w:type="dxa"/>
            <w:vAlign w:val="bottom"/>
            <w:tcBorders>
              <w:left w:val="single" w:sz="8" w:color="auto"/>
              <w:bottom w:val="single" w:sz="8" w:color="auto"/>
              <w:right w:val="single" w:sz="8" w:color="auto"/>
            </w:tcBorders>
            <w:shd w:val="clear" w:color="auto" w:fill="B4C6E7"/>
          </w:tcPr>
          <w:p>
            <w:pPr>
              <w:spacing w:after="0"/>
              <w:rPr>
                <w:sz w:val="16"/>
                <w:szCs w:val="16"/>
                <w:color w:val="auto"/>
              </w:rPr>
            </w:pPr>
          </w:p>
        </w:tc>
        <w:tc>
          <w:tcPr>
            <w:tcW w:w="2840" w:type="dxa"/>
            <w:vAlign w:val="bottom"/>
            <w:tcBorders>
              <w:bottom w:val="single" w:sz="8" w:color="auto"/>
              <w:right w:val="single" w:sz="8" w:color="auto"/>
            </w:tcBorders>
            <w:shd w:val="clear" w:color="auto" w:fill="B4C6E7"/>
          </w:tcPr>
          <w:p>
            <w:pPr>
              <w:spacing w:after="0"/>
              <w:rPr>
                <w:sz w:val="16"/>
                <w:szCs w:val="16"/>
                <w:color w:val="auto"/>
              </w:rPr>
            </w:pPr>
          </w:p>
        </w:tc>
      </w:tr>
      <w:tr>
        <w:trPr>
          <w:trHeight w:val="305"/>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&lt;10</w:t>
            </w:r>
            <w:r>
              <w:rPr>
                <w:rFonts w:ascii="Times New Roman" w:cs="Times New Roman" w:eastAsia="Times New Roman" w:hAnsi="Times New Roman"/>
                <w:sz w:val="23"/>
                <w:szCs w:val="23"/>
                <w:color w:val="auto"/>
                <w:w w:val="96"/>
                <w:vertAlign w:val="superscript"/>
              </w:rPr>
              <w:t>th</w:t>
            </w:r>
            <w:r>
              <w:rPr>
                <w:rFonts w:ascii="Times New Roman" w:cs="Times New Roman" w:eastAsia="Times New Roman" w:hAnsi="Times New Roman"/>
                <w:sz w:val="18"/>
                <w:szCs w:val="18"/>
                <w:color w:val="auto"/>
                <w:w w:val="96"/>
              </w:rPr>
              <w:t xml:space="preserve"> percentile</w:t>
            </w:r>
          </w:p>
        </w:tc>
        <w:tc>
          <w:tcPr>
            <w:tcW w:w="2840" w:type="dxa"/>
            <w:vAlign w:val="bottom"/>
            <w:tcBorders>
              <w:right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0%</w:t>
            </w:r>
          </w:p>
        </w:tc>
      </w:tr>
      <w:tr>
        <w:trPr>
          <w:trHeight w:val="107"/>
        </w:trPr>
        <w:tc>
          <w:tcPr>
            <w:tcW w:w="2840" w:type="dxa"/>
            <w:vAlign w:val="bottom"/>
            <w:tcBorders>
              <w:left w:val="single" w:sz="8" w:color="auto"/>
              <w:bottom w:val="single" w:sz="8" w:color="auto"/>
              <w:right w:val="single" w:sz="8" w:color="auto"/>
            </w:tcBorders>
          </w:tcPr>
          <w:p>
            <w:pPr>
              <w:spacing w:after="0"/>
              <w:rPr>
                <w:sz w:val="9"/>
                <w:szCs w:val="9"/>
                <w:color w:val="auto"/>
              </w:rPr>
            </w:pPr>
          </w:p>
        </w:tc>
        <w:tc>
          <w:tcPr>
            <w:tcW w:w="2840" w:type="dxa"/>
            <w:vAlign w:val="bottom"/>
            <w:tcBorders>
              <w:bottom w:val="single" w:sz="8" w:color="auto"/>
              <w:right w:val="single" w:sz="8" w:color="auto"/>
            </w:tcBorders>
          </w:tcPr>
          <w:p>
            <w:pPr>
              <w:spacing w:after="0"/>
              <w:rPr>
                <w:sz w:val="9"/>
                <w:szCs w:val="9"/>
                <w:color w:val="auto"/>
              </w:rPr>
            </w:pPr>
          </w:p>
        </w:tc>
      </w:tr>
      <w:tr>
        <w:trPr>
          <w:trHeight w:val="305"/>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w:t>
            </w:r>
            <w:r>
              <w:rPr>
                <w:rFonts w:ascii="Times New Roman" w:cs="Times New Roman" w:eastAsia="Times New Roman" w:hAnsi="Times New Roman"/>
                <w:sz w:val="23"/>
                <w:szCs w:val="23"/>
                <w:color w:val="auto"/>
                <w:w w:val="98"/>
                <w:vertAlign w:val="superscript"/>
              </w:rPr>
              <w:t>th</w:t>
            </w:r>
            <w:r>
              <w:rPr>
                <w:rFonts w:ascii="Times New Roman" w:cs="Times New Roman" w:eastAsia="Times New Roman" w:hAnsi="Times New Roman"/>
                <w:sz w:val="18"/>
                <w:szCs w:val="18"/>
                <w:color w:val="auto"/>
                <w:w w:val="98"/>
              </w:rPr>
              <w:t xml:space="preserve"> percentile</w:t>
            </w:r>
          </w:p>
        </w:tc>
        <w:tc>
          <w:tcPr>
            <w:tcW w:w="2840" w:type="dxa"/>
            <w:vAlign w:val="bottom"/>
            <w:tcBorders>
              <w:right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6"/>
              </w:rPr>
              <w:t>25%</w:t>
            </w:r>
          </w:p>
        </w:tc>
      </w:tr>
      <w:tr>
        <w:trPr>
          <w:trHeight w:val="107"/>
        </w:trPr>
        <w:tc>
          <w:tcPr>
            <w:tcW w:w="2840" w:type="dxa"/>
            <w:vAlign w:val="bottom"/>
            <w:tcBorders>
              <w:left w:val="single" w:sz="8" w:color="auto"/>
              <w:bottom w:val="single" w:sz="8" w:color="auto"/>
              <w:right w:val="single" w:sz="8" w:color="auto"/>
            </w:tcBorders>
          </w:tcPr>
          <w:p>
            <w:pPr>
              <w:spacing w:after="0"/>
              <w:rPr>
                <w:sz w:val="9"/>
                <w:szCs w:val="9"/>
                <w:color w:val="auto"/>
              </w:rPr>
            </w:pPr>
          </w:p>
        </w:tc>
        <w:tc>
          <w:tcPr>
            <w:tcW w:w="2840" w:type="dxa"/>
            <w:vAlign w:val="bottom"/>
            <w:tcBorders>
              <w:bottom w:val="single" w:sz="8" w:color="auto"/>
              <w:right w:val="single" w:sz="8" w:color="auto"/>
            </w:tcBorders>
          </w:tcPr>
          <w:p>
            <w:pPr>
              <w:spacing w:after="0"/>
              <w:rPr>
                <w:sz w:val="9"/>
                <w:szCs w:val="9"/>
                <w:color w:val="auto"/>
              </w:rPr>
            </w:pPr>
          </w:p>
        </w:tc>
      </w:tr>
      <w:tr>
        <w:trPr>
          <w:trHeight w:val="305"/>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w:t>
            </w:r>
            <w:r>
              <w:rPr>
                <w:rFonts w:ascii="Times New Roman" w:cs="Times New Roman" w:eastAsia="Times New Roman" w:hAnsi="Times New Roman"/>
                <w:sz w:val="23"/>
                <w:szCs w:val="23"/>
                <w:color w:val="auto"/>
                <w:w w:val="98"/>
                <w:vertAlign w:val="superscript"/>
              </w:rPr>
              <w:t>th</w:t>
            </w:r>
            <w:r>
              <w:rPr>
                <w:rFonts w:ascii="Times New Roman" w:cs="Times New Roman" w:eastAsia="Times New Roman" w:hAnsi="Times New Roman"/>
                <w:sz w:val="18"/>
                <w:szCs w:val="18"/>
                <w:color w:val="auto"/>
                <w:w w:val="98"/>
              </w:rPr>
              <w:t xml:space="preserve"> percentile</w:t>
            </w:r>
          </w:p>
        </w:tc>
        <w:tc>
          <w:tcPr>
            <w:tcW w:w="2840" w:type="dxa"/>
            <w:vAlign w:val="bottom"/>
            <w:tcBorders>
              <w:right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107"/>
        </w:trPr>
        <w:tc>
          <w:tcPr>
            <w:tcW w:w="2840" w:type="dxa"/>
            <w:vAlign w:val="bottom"/>
            <w:tcBorders>
              <w:left w:val="single" w:sz="8" w:color="auto"/>
              <w:bottom w:val="single" w:sz="8" w:color="auto"/>
              <w:right w:val="single" w:sz="8" w:color="auto"/>
            </w:tcBorders>
          </w:tcPr>
          <w:p>
            <w:pPr>
              <w:spacing w:after="0"/>
              <w:rPr>
                <w:sz w:val="9"/>
                <w:szCs w:val="9"/>
                <w:color w:val="auto"/>
              </w:rPr>
            </w:pPr>
          </w:p>
        </w:tc>
        <w:tc>
          <w:tcPr>
            <w:tcW w:w="2840" w:type="dxa"/>
            <w:vAlign w:val="bottom"/>
            <w:tcBorders>
              <w:bottom w:val="single" w:sz="8" w:color="auto"/>
              <w:right w:val="single" w:sz="8" w:color="auto"/>
            </w:tcBorders>
          </w:tcPr>
          <w:p>
            <w:pPr>
              <w:spacing w:after="0"/>
              <w:rPr>
                <w:sz w:val="9"/>
                <w:szCs w:val="9"/>
                <w:color w:val="auto"/>
              </w:rPr>
            </w:pPr>
          </w:p>
        </w:tc>
      </w:tr>
      <w:tr>
        <w:trPr>
          <w:trHeight w:val="305"/>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90</w:t>
            </w:r>
            <w:r>
              <w:rPr>
                <w:rFonts w:ascii="Times New Roman" w:cs="Times New Roman" w:eastAsia="Times New Roman" w:hAnsi="Times New Roman"/>
                <w:sz w:val="23"/>
                <w:szCs w:val="23"/>
                <w:color w:val="auto"/>
                <w:w w:val="98"/>
                <w:vertAlign w:val="superscript"/>
              </w:rPr>
              <w:t>th</w:t>
            </w:r>
            <w:r>
              <w:rPr>
                <w:rFonts w:ascii="Times New Roman" w:cs="Times New Roman" w:eastAsia="Times New Roman" w:hAnsi="Times New Roman"/>
                <w:sz w:val="18"/>
                <w:szCs w:val="18"/>
                <w:color w:val="auto"/>
                <w:w w:val="98"/>
              </w:rPr>
              <w:t xml:space="preserve"> percentile</w:t>
            </w:r>
          </w:p>
        </w:tc>
        <w:tc>
          <w:tcPr>
            <w:tcW w:w="2840" w:type="dxa"/>
            <w:vAlign w:val="bottom"/>
            <w:tcBorders>
              <w:right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9"/>
              </w:rPr>
              <w:t>200%</w:t>
            </w:r>
          </w:p>
        </w:tc>
      </w:tr>
      <w:tr>
        <w:trPr>
          <w:trHeight w:val="107"/>
        </w:trPr>
        <w:tc>
          <w:tcPr>
            <w:tcW w:w="2840" w:type="dxa"/>
            <w:vAlign w:val="bottom"/>
            <w:tcBorders>
              <w:left w:val="single" w:sz="8" w:color="auto"/>
              <w:bottom w:val="single" w:sz="8" w:color="auto"/>
              <w:right w:val="single" w:sz="8" w:color="auto"/>
            </w:tcBorders>
          </w:tcPr>
          <w:p>
            <w:pPr>
              <w:spacing w:after="0"/>
              <w:rPr>
                <w:sz w:val="9"/>
                <w:szCs w:val="9"/>
                <w:color w:val="auto"/>
              </w:rPr>
            </w:pPr>
          </w:p>
        </w:tc>
        <w:tc>
          <w:tcPr>
            <w:tcW w:w="2840" w:type="dxa"/>
            <w:vAlign w:val="bottom"/>
            <w:tcBorders>
              <w:bottom w:val="single" w:sz="8" w:color="auto"/>
              <w:right w:val="single" w:sz="8" w:color="auto"/>
            </w:tcBorders>
          </w:tcPr>
          <w:p>
            <w:pPr>
              <w:spacing w:after="0"/>
              <w:rPr>
                <w:sz w:val="9"/>
                <w:szCs w:val="9"/>
                <w:color w:val="auto"/>
              </w:rPr>
            </w:pPr>
          </w:p>
        </w:tc>
      </w:tr>
    </w:tbl>
    <w:p>
      <w:pPr>
        <w:spacing w:after="0" w:line="292" w:lineRule="exact"/>
        <w:rPr>
          <w:sz w:val="20"/>
          <w:szCs w:val="20"/>
          <w:color w:val="auto"/>
        </w:rPr>
      </w:pPr>
    </w:p>
    <w:p>
      <w:pPr>
        <w:jc w:val="both"/>
        <w:ind w:left="2600"/>
        <w:spacing w:after="0" w:line="282" w:lineRule="auto"/>
        <w:rPr>
          <w:sz w:val="20"/>
          <w:szCs w:val="20"/>
          <w:color w:val="auto"/>
        </w:rPr>
      </w:pPr>
      <w:r>
        <w:rPr>
          <w:rFonts w:ascii="Times New Roman" w:cs="Times New Roman" w:eastAsia="Times New Roman" w:hAnsi="Times New Roman"/>
          <w:sz w:val="18"/>
          <w:szCs w:val="18"/>
          <w:color w:val="auto"/>
        </w:rPr>
        <w:t>Linear interpolation shall be used to determine the percentage of the target number of Restricted Stock Units that satisfy the Relative TSR Vesting Condition between each percentile listed.</w:t>
      </w:r>
    </w:p>
    <w:p>
      <w:pPr>
        <w:spacing w:after="0" w:line="121" w:lineRule="exact"/>
        <w:rPr>
          <w:sz w:val="20"/>
          <w:szCs w:val="20"/>
          <w:color w:val="auto"/>
        </w:rPr>
      </w:pPr>
    </w:p>
    <w:p>
      <w:pPr>
        <w:jc w:val="both"/>
        <w:ind w:left="2600"/>
        <w:spacing w:after="0" w:line="261" w:lineRule="auto"/>
        <w:rPr>
          <w:sz w:val="20"/>
          <w:szCs w:val="20"/>
          <w:color w:val="auto"/>
        </w:rPr>
      </w:pPr>
      <w:r>
        <w:rPr>
          <w:rFonts w:ascii="Times New Roman" w:cs="Times New Roman" w:eastAsia="Times New Roman" w:hAnsi="Times New Roman"/>
          <w:sz w:val="18"/>
          <w:szCs w:val="18"/>
          <w:color w:val="auto"/>
        </w:rPr>
        <w:t>To determine such relative Total Shareholder Return, the Committee will calculate the Total Shareholder Return of the Company and each member of the Comparator Group for the Performance Period, and the Company and each member of the Comparator Group will be ranked in order of maximum to minimum according to their respective Total Shareholder Return for the Performance Period, with the company with the highest return ranked as 1.</w:t>
      </w:r>
    </w:p>
    <w:p>
      <w:pPr>
        <w:sectPr>
          <w:pgSz w:w="11900" w:h="16838" w:orient="portrait"/>
          <w:cols w:equalWidth="0" w:num="1">
            <w:col w:w="11240"/>
          </w:cols>
          <w:pgMar w:left="320" w:top="1413" w:right="339" w:bottom="1440" w:gutter="0" w:footer="0" w:header="0"/>
        </w:sectPr>
      </w:pPr>
    </w:p>
    <w:bookmarkStart w:id="67" w:name="page68"/>
    <w:bookmarkEnd w:id="67"/>
    <w:p>
      <w:pPr>
        <w:ind w:left="2600" w:right="20"/>
        <w:spacing w:after="0" w:line="282" w:lineRule="auto"/>
        <w:rPr>
          <w:sz w:val="20"/>
          <w:szCs w:val="20"/>
          <w:color w:val="auto"/>
        </w:rPr>
      </w:pPr>
      <w:r>
        <w:rPr>
          <w:rFonts w:ascii="Times New Roman" w:cs="Times New Roman" w:eastAsia="Times New Roman" w:hAnsi="Times New Roman"/>
          <w:sz w:val="18"/>
          <w:szCs w:val="18"/>
          <w:color w:val="auto"/>
        </w:rPr>
        <w:t>After this ranking, the percentile performance of the Company relative to the Comparator Group will be determined as follows:</w:t>
      </w:r>
    </w:p>
    <w:p>
      <w:pPr>
        <w:spacing w:after="0" w:line="1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i w:val="1"/>
          <w:iCs w:val="1"/>
          <w:color w:val="auto"/>
        </w:rPr>
        <w:t xml:space="preserve">P </w:t>
      </w:r>
      <w:r>
        <w:rPr>
          <w:rFonts w:ascii="Arial" w:cs="Arial" w:eastAsia="Arial" w:hAnsi="Arial"/>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i w:val="1"/>
          <w:iCs w:val="1"/>
          <w:color w:val="auto"/>
        </w:rPr>
        <w:t xml:space="preserve"> </w:t>
      </w:r>
      <w:r>
        <w:rPr>
          <w:rFonts w:ascii="Arial" w:cs="Arial" w:eastAsia="Arial" w:hAnsi="Arial"/>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-54610</wp:posOffset>
            </wp:positionV>
            <wp:extent cx="3003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3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N-1</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Where: “P” represents the percentile performance, which will be rounded, if necessary, to the nearest tenth of a percent.</w:t>
      </w:r>
    </w:p>
    <w:p>
      <w:pPr>
        <w:spacing w:after="0" w:line="1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 represents the number of companies in the Comparator Group (inclusive of the Company).</w:t>
      </w:r>
    </w:p>
    <w:p>
      <w:pPr>
        <w:spacing w:after="0" w:line="18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 represents the Company’s ranking versus the Comparator Group.</w:t>
      </w:r>
    </w:p>
    <w:p>
      <w:pPr>
        <w:spacing w:after="0" w:line="1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i w:val="1"/>
          <w:iCs w:val="1"/>
          <w:color w:val="auto"/>
        </w:rPr>
        <w:t>Example</w:t>
      </w:r>
      <w:r>
        <w:rPr>
          <w:rFonts w:ascii="Times New Roman" w:cs="Times New Roman" w:eastAsia="Times New Roman" w:hAnsi="Times New Roman"/>
          <w:sz w:val="18"/>
          <w:szCs w:val="18"/>
          <w:color w:val="auto"/>
        </w:rPr>
        <w:t>: If there are 1,967 Comparator Companies (inclusive of the Company), and the Company ranked 984th out of</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1,967, the performance would be at the 50th percentile: .500 = 1 – ((984-1)/(1,967-1)).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Net Income</w:t>
      </w:r>
    </w:p>
    <w:p>
      <w:pPr>
        <w:spacing w:after="0" w:line="31" w:lineRule="exact"/>
        <w:rPr>
          <w:sz w:val="20"/>
          <w:szCs w:val="20"/>
          <w:color w:val="auto"/>
        </w:rPr>
      </w:pPr>
    </w:p>
    <w:p>
      <w:pPr>
        <w:jc w:val="both"/>
        <w:ind w:left="1740" w:hanging="2534"/>
        <w:spacing w:after="0" w:line="253" w:lineRule="auto"/>
        <w:tabs>
          <w:tab w:leader="none" w:pos="1720" w:val="left"/>
        </w:tabs>
        <w:rPr>
          <w:sz w:val="20"/>
          <w:szCs w:val="20"/>
          <w:color w:val="auto"/>
        </w:rPr>
      </w:pPr>
      <w:r>
        <w:rPr>
          <w:rFonts w:ascii="Times New Roman" w:cs="Times New Roman" w:eastAsia="Times New Roman" w:hAnsi="Times New Roman"/>
          <w:sz w:val="18"/>
          <w:szCs w:val="18"/>
          <w:b w:val="1"/>
          <w:bCs w:val="1"/>
          <w:color w:val="auto"/>
        </w:rPr>
        <w:t>Vesting Condition:</w:t>
      </w:r>
      <w:r>
        <w:rPr>
          <w:sz w:val="20"/>
          <w:szCs w:val="20"/>
          <w:color w:val="auto"/>
        </w:rPr>
        <w:tab/>
      </w:r>
      <w:r>
        <w:rPr>
          <w:rFonts w:ascii="Times New Roman" w:cs="Times New Roman" w:eastAsia="Times New Roman" w:hAnsi="Times New Roman"/>
          <w:sz w:val="18"/>
          <w:szCs w:val="18"/>
          <w:color w:val="auto"/>
        </w:rPr>
        <w:t>Twenty-five percent (25%) of the target number of Restricted Stock Units shall be subject to the Non-GAAP Net Income Vesting Condition. The shares subject to the Non-GAAP Net Income Vesting Condition shall vest based on the Company’s cumulative Non-GAAP Net Income Per Share for the Performance Period, as follows, subject to Participant’s Continuous Service through the Certification Date:</w:t>
      </w:r>
    </w:p>
    <w:p>
      <w:pPr>
        <w:spacing w:after="0" w:line="174" w:lineRule="exact"/>
        <w:rPr>
          <w:sz w:val="20"/>
          <w:szCs w:val="20"/>
          <w:color w:val="auto"/>
        </w:rPr>
      </w:pPr>
    </w:p>
    <w:tbl>
      <w:tblPr>
        <w:tblLayout w:type="fixed"/>
        <w:tblInd w:w="2610" w:type="dxa"/>
        <w:tblCellMar>
          <w:top w:w="0" w:type="dxa"/>
          <w:left w:w="0" w:type="dxa"/>
          <w:bottom w:w="0" w:type="dxa"/>
          <w:right w:w="0" w:type="dxa"/>
        </w:tblCellMar>
      </w:tblPr>
      <w:tr>
        <w:trPr>
          <w:trHeight w:val="189"/>
        </w:trPr>
        <w:tc>
          <w:tcPr>
            <w:tcW w:w="2700" w:type="dxa"/>
            <w:vAlign w:val="bottom"/>
            <w:tcBorders>
              <w:top w:val="single" w:sz="8" w:color="auto"/>
              <w:left w:val="single" w:sz="8" w:color="auto"/>
              <w:right w:val="single" w:sz="8" w:color="auto"/>
            </w:tcBorders>
            <w:shd w:val="clear" w:color="auto" w:fill="B4C6E7"/>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Cumulative Non-GAAP Net</w:t>
            </w:r>
          </w:p>
        </w:tc>
        <w:tc>
          <w:tcPr>
            <w:tcW w:w="3300" w:type="dxa"/>
            <w:vAlign w:val="bottom"/>
            <w:tcBorders>
              <w:top w:val="single" w:sz="8" w:color="auto"/>
              <w:right w:val="single" w:sz="8" w:color="auto"/>
            </w:tcBorders>
            <w:shd w:val="clear" w:color="auto" w:fill="B4C6E7"/>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Percentage of Restricted Stock Units that</w:t>
            </w:r>
          </w:p>
        </w:tc>
      </w:tr>
      <w:tr>
        <w:trPr>
          <w:trHeight w:val="180"/>
        </w:trPr>
        <w:tc>
          <w:tcPr>
            <w:tcW w:w="2700" w:type="dxa"/>
            <w:vAlign w:val="bottom"/>
            <w:tcBorders>
              <w:left w:val="single" w:sz="8" w:color="auto"/>
              <w:right w:val="single" w:sz="8" w:color="auto"/>
            </w:tcBorders>
            <w:shd w:val="clear" w:color="auto" w:fill="B4C6E7"/>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Income Per Share</w:t>
            </w:r>
          </w:p>
        </w:tc>
        <w:tc>
          <w:tcPr>
            <w:tcW w:w="3300" w:type="dxa"/>
            <w:vAlign w:val="bottom"/>
            <w:tcBorders>
              <w:right w:val="single" w:sz="8" w:color="auto"/>
            </w:tcBorders>
            <w:shd w:val="clear" w:color="auto" w:fill="B4C6E7"/>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Satisfy the Non-GAAP Net Income</w:t>
            </w:r>
          </w:p>
        </w:tc>
      </w:tr>
      <w:tr>
        <w:trPr>
          <w:trHeight w:val="184"/>
        </w:trPr>
        <w:tc>
          <w:tcPr>
            <w:tcW w:w="2700" w:type="dxa"/>
            <w:vAlign w:val="bottom"/>
            <w:tcBorders>
              <w:left w:val="single" w:sz="8" w:color="auto"/>
              <w:right w:val="single" w:sz="8" w:color="auto"/>
            </w:tcBorders>
            <w:shd w:val="clear" w:color="auto" w:fill="B4C6E7"/>
          </w:tcPr>
          <w:p>
            <w:pPr>
              <w:spacing w:after="0"/>
              <w:rPr>
                <w:sz w:val="16"/>
                <w:szCs w:val="16"/>
                <w:color w:val="auto"/>
              </w:rPr>
            </w:pPr>
          </w:p>
        </w:tc>
        <w:tc>
          <w:tcPr>
            <w:tcW w:w="3300" w:type="dxa"/>
            <w:vAlign w:val="bottom"/>
            <w:tcBorders>
              <w:right w:val="single" w:sz="8" w:color="auto"/>
            </w:tcBorders>
            <w:shd w:val="clear" w:color="auto" w:fill="B4C6E7"/>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Vesting Condition</w:t>
            </w:r>
          </w:p>
        </w:tc>
      </w:tr>
      <w:tr>
        <w:trPr>
          <w:trHeight w:val="230"/>
        </w:trPr>
        <w:tc>
          <w:tcPr>
            <w:tcW w:w="2700" w:type="dxa"/>
            <w:vAlign w:val="bottom"/>
            <w:tcBorders>
              <w:left w:val="single" w:sz="8" w:color="auto"/>
              <w:bottom w:val="single" w:sz="8" w:color="auto"/>
              <w:right w:val="single" w:sz="8" w:color="auto"/>
            </w:tcBorders>
            <w:shd w:val="clear" w:color="auto" w:fill="B4C6E7"/>
          </w:tcPr>
          <w:p>
            <w:pPr>
              <w:spacing w:after="0"/>
              <w:rPr>
                <w:sz w:val="19"/>
                <w:szCs w:val="19"/>
                <w:color w:val="auto"/>
              </w:rPr>
            </w:pPr>
          </w:p>
        </w:tc>
        <w:tc>
          <w:tcPr>
            <w:tcW w:w="3300" w:type="dxa"/>
            <w:vAlign w:val="bottom"/>
            <w:tcBorders>
              <w:bottom w:val="single" w:sz="8" w:color="auto"/>
              <w:right w:val="single" w:sz="8" w:color="auto"/>
            </w:tcBorders>
            <w:shd w:val="clear" w:color="auto" w:fill="B4C6E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Target)</w:t>
            </w:r>
          </w:p>
        </w:tc>
      </w:tr>
      <w:tr>
        <w:trPr>
          <w:trHeight w:val="223"/>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$14.72</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$17.32</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$21.65</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292" w:lineRule="exact"/>
        <w:rPr>
          <w:sz w:val="20"/>
          <w:szCs w:val="20"/>
          <w:color w:val="auto"/>
        </w:rPr>
      </w:pPr>
    </w:p>
    <w:p>
      <w:pPr>
        <w:ind w:left="2600"/>
        <w:spacing w:after="0" w:line="282" w:lineRule="auto"/>
        <w:rPr>
          <w:sz w:val="20"/>
          <w:szCs w:val="20"/>
          <w:color w:val="auto"/>
        </w:rPr>
      </w:pPr>
      <w:r>
        <w:rPr>
          <w:rFonts w:ascii="Times New Roman" w:cs="Times New Roman" w:eastAsia="Times New Roman" w:hAnsi="Times New Roman"/>
          <w:sz w:val="18"/>
          <w:szCs w:val="18"/>
          <w:color w:val="auto"/>
        </w:rPr>
        <w:t>Linear interpolation shall be used to determine the percentage of the target number of Restricted Stock Units that satisfy the Non-GAAP Net Income Vesting Condition between each dollar amount listed.</w:t>
      </w:r>
    </w:p>
    <w:p>
      <w:pPr>
        <w:spacing w:after="0" w:line="117" w:lineRule="exact"/>
        <w:rPr>
          <w:sz w:val="20"/>
          <w:szCs w:val="20"/>
          <w:color w:val="auto"/>
        </w:rPr>
      </w:pPr>
    </w:p>
    <w:p>
      <w:pPr>
        <w:jc w:val="both"/>
        <w:ind w:left="1640" w:hanging="2591"/>
        <w:spacing w:after="0" w:line="242" w:lineRule="auto"/>
        <w:tabs>
          <w:tab w:leader="none" w:pos="1620" w:val="left"/>
        </w:tabs>
        <w:rPr>
          <w:sz w:val="20"/>
          <w:szCs w:val="20"/>
          <w:color w:val="auto"/>
        </w:rPr>
      </w:pPr>
      <w:r>
        <w:rPr>
          <w:rFonts w:ascii="Times New Roman" w:cs="Times New Roman" w:eastAsia="Times New Roman" w:hAnsi="Times New Roman"/>
          <w:sz w:val="18"/>
          <w:szCs w:val="18"/>
          <w:b w:val="1"/>
          <w:bCs w:val="1"/>
          <w:color w:val="auto"/>
        </w:rPr>
        <w:t>Certification Date:</w:t>
      </w:r>
      <w:r>
        <w:rPr>
          <w:sz w:val="20"/>
          <w:szCs w:val="20"/>
          <w:color w:val="auto"/>
        </w:rPr>
        <w:tab/>
      </w:r>
      <w:r>
        <w:rPr>
          <w:rFonts w:ascii="Times New Roman" w:cs="Times New Roman" w:eastAsia="Times New Roman" w:hAnsi="Times New Roman"/>
          <w:sz w:val="18"/>
          <w:szCs w:val="18"/>
          <w:color w:val="auto"/>
        </w:rPr>
        <w:t>As soon as reasonably practicable following the last fiscal year in the Performance Period, but in no event later than April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following fiscal year to which the Performance Period relates, or the date of a Change in Control, if applicable, the Committee shall determine the Company’s relative Total Shareholder Return for the Performance Period relative to the members of the Comparator Group and the Company’s cumulative Non-GAAP Net Income Per Share for the Performance Period (such date of determination, the “</w:t>
      </w:r>
      <w:r>
        <w:rPr>
          <w:rFonts w:ascii="Times New Roman" w:cs="Times New Roman" w:eastAsia="Times New Roman" w:hAnsi="Times New Roman"/>
          <w:sz w:val="18"/>
          <w:szCs w:val="18"/>
          <w:b w:val="1"/>
          <w:bCs w:val="1"/>
          <w:i w:val="1"/>
          <w:iCs w:val="1"/>
          <w:color w:val="auto"/>
        </w:rPr>
        <w:t>Certification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600" w:right="20"/>
        <w:spacing w:after="0" w:line="282" w:lineRule="auto"/>
        <w:rPr>
          <w:sz w:val="20"/>
          <w:szCs w:val="20"/>
          <w:color w:val="auto"/>
        </w:rPr>
      </w:pPr>
      <w:r>
        <w:rPr>
          <w:rFonts w:ascii="Times New Roman" w:cs="Times New Roman" w:eastAsia="Times New Roman" w:hAnsi="Times New Roman"/>
          <w:sz w:val="18"/>
          <w:szCs w:val="18"/>
          <w:color w:val="auto"/>
        </w:rPr>
        <w:t>Following the Certification Date, any Restricted Stock Units granted hereunder that do not vest shall immediately be forfeited for no consideration.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on a Change in</w:t>
      </w:r>
    </w:p>
    <w:p>
      <w:pPr>
        <w:spacing w:after="0" w:line="31" w:lineRule="exact"/>
        <w:rPr>
          <w:sz w:val="20"/>
          <w:szCs w:val="20"/>
          <w:color w:val="auto"/>
        </w:rPr>
      </w:pPr>
    </w:p>
    <w:p>
      <w:pPr>
        <w:jc w:val="center"/>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Control:  </w:t>
      </w:r>
      <w:r>
        <w:rPr>
          <w:rFonts w:ascii="Times New Roman" w:cs="Times New Roman" w:eastAsia="Times New Roman" w:hAnsi="Times New Roman"/>
          <w:sz w:val="18"/>
          <w:szCs w:val="18"/>
          <w:color w:val="auto"/>
        </w:rPr>
        <w:t>If a Change in Control occurs during Participant’s Continuous Service (or following Participant’s Qualifying Retirement), the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Award shall be treated in accordance with terms of Section 9(d) of the Plan.</w:t>
      </w:r>
    </w:p>
    <w:p>
      <w:pPr>
        <w:sectPr>
          <w:pgSz w:w="11900" w:h="16838" w:orient="portrait"/>
          <w:cols w:equalWidth="0" w:num="1">
            <w:col w:w="11240"/>
          </w:cols>
          <w:pgMar w:left="320" w:top="1417" w:right="339" w:bottom="1440" w:gutter="0" w:footer="0" w:header="0"/>
        </w:sectPr>
      </w:pPr>
    </w:p>
    <w:bookmarkStart w:id="68" w:name="page69"/>
    <w:bookmarkEnd w:id="68"/>
    <w:p>
      <w:pPr>
        <w:jc w:val="both"/>
        <w:ind w:left="2600"/>
        <w:spacing w:after="0" w:line="254" w:lineRule="auto"/>
        <w:rPr>
          <w:sz w:val="20"/>
          <w:szCs w:val="20"/>
          <w:color w:val="auto"/>
        </w:rPr>
      </w:pPr>
      <w:r>
        <w:rPr>
          <w:rFonts w:ascii="Times New Roman" w:cs="Times New Roman" w:eastAsia="Times New Roman" w:hAnsi="Times New Roman"/>
          <w:sz w:val="18"/>
          <w:szCs w:val="18"/>
          <w:color w:val="auto"/>
        </w:rPr>
        <w:t>Notwithstanding Section 9(d)(ii) of the Plan, if the surviving corporation or acquiring corporation (or the surviving or acquiring corporation’s parent company) assumes or continues the Restricted Stock Unit Award or substitutes the Restricted Stock Unit Award for a similar stock award in accordance with Section 9(c)(i) of the Plan (such units, the “</w:t>
      </w:r>
      <w:r>
        <w:rPr>
          <w:rFonts w:ascii="Times New Roman" w:cs="Times New Roman" w:eastAsia="Times New Roman" w:hAnsi="Times New Roman"/>
          <w:sz w:val="18"/>
          <w:szCs w:val="18"/>
          <w:b w:val="1"/>
          <w:bCs w:val="1"/>
          <w:i w:val="1"/>
          <w:iCs w:val="1"/>
          <w:color w:val="auto"/>
        </w:rPr>
        <w:t>Eligible Restricted Stock Units</w:t>
      </w:r>
      <w:r>
        <w:rPr>
          <w:rFonts w:ascii="Times New Roman" w:cs="Times New Roman" w:eastAsia="Times New Roman" w:hAnsi="Times New Roman"/>
          <w:sz w:val="18"/>
          <w:szCs w:val="18"/>
          <w:color w:val="auto"/>
        </w:rPr>
        <w:t>”) and Participant’s Continuous Service is terminated due to Participant’s death or Disability during the twenty-four (24)-month period commencing on such Change in Control or due to Participant’s Qualifying Retirement on or following the Change in Control, all Eligible Restricted Stock Units that have not previously vested shall vest as of the date of such termination or Qualifying Retirement, as applicable, with performance as determined under Section 9(d)(ii) of the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on a Pre-CIC</w:t>
      </w:r>
    </w:p>
    <w:p>
      <w:pPr>
        <w:spacing w:after="0" w:line="31" w:lineRule="exact"/>
        <w:rPr>
          <w:sz w:val="20"/>
          <w:szCs w:val="20"/>
          <w:color w:val="auto"/>
        </w:rPr>
      </w:pPr>
    </w:p>
    <w:p>
      <w:pPr>
        <w:jc w:val="both"/>
        <w:ind w:left="2080" w:hanging="2591"/>
        <w:spacing w:after="0" w:line="251" w:lineRule="auto"/>
        <w:tabs>
          <w:tab w:leader="none" w:pos="2060" w:val="left"/>
        </w:tabs>
        <w:rPr>
          <w:sz w:val="20"/>
          <w:szCs w:val="20"/>
          <w:color w:val="auto"/>
        </w:rPr>
      </w:pPr>
      <w:r>
        <w:rPr>
          <w:rFonts w:ascii="Times New Roman" w:cs="Times New Roman" w:eastAsia="Times New Roman" w:hAnsi="Times New Roman"/>
          <w:sz w:val="18"/>
          <w:szCs w:val="18"/>
          <w:b w:val="1"/>
          <w:bCs w:val="1"/>
          <w:color w:val="auto"/>
        </w:rPr>
        <w:t>Qualifying Termination:</w:t>
      </w:r>
      <w:r>
        <w:rPr>
          <w:sz w:val="20"/>
          <w:szCs w:val="20"/>
          <w:color w:val="auto"/>
        </w:rPr>
        <w:tab/>
      </w:r>
      <w:r>
        <w:rPr>
          <w:rFonts w:ascii="Times New Roman" w:cs="Times New Roman" w:eastAsia="Times New Roman" w:hAnsi="Times New Roman"/>
          <w:sz w:val="18"/>
          <w:szCs w:val="18"/>
          <w:color w:val="auto"/>
        </w:rPr>
        <w:t>If, prior to a Change in Control, Participant’s Continuous Service is terminated by the Company (or any successor or Affiliate) without Cause (and other than as a result of Participant's death or Disability) or by Participant for Good Reason (each, a “</w:t>
      </w:r>
      <w:r>
        <w:rPr>
          <w:rFonts w:ascii="Times New Roman" w:cs="Times New Roman" w:eastAsia="Times New Roman" w:hAnsi="Times New Roman"/>
          <w:sz w:val="18"/>
          <w:szCs w:val="18"/>
          <w:b w:val="1"/>
          <w:bCs w:val="1"/>
          <w:i w:val="1"/>
          <w:iCs w:val="1"/>
          <w:color w:val="auto"/>
        </w:rPr>
        <w:t>Pre-CIC Qualifying Termination</w:t>
      </w:r>
      <w:r>
        <w:rPr>
          <w:rFonts w:ascii="Times New Roman" w:cs="Times New Roman" w:eastAsia="Times New Roman" w:hAnsi="Times New Roman"/>
          <w:sz w:val="18"/>
          <w:szCs w:val="18"/>
          <w:color w:val="auto"/>
        </w:rPr>
        <w:t>”), subject to Participant’s satisfaction of the Release Condition (as defined below) and Participant’s continued compliance with the restrictive covenants set forth in the Team Member Confidentiality Agreement (as defined below), a prorated number of Restricted Stock Units shall remain outstanding and eligible to satisfy the Relative TSR Vesting Condition and the Non-GAAP Net Income Vesting Condition as though Participant remained in Continuous Service through the Certification Date (the “</w:t>
      </w:r>
      <w:r>
        <w:rPr>
          <w:rFonts w:ascii="Times New Roman" w:cs="Times New Roman" w:eastAsia="Times New Roman" w:hAnsi="Times New Roman"/>
          <w:sz w:val="18"/>
          <w:szCs w:val="18"/>
          <w:b w:val="1"/>
          <w:bCs w:val="1"/>
          <w:i w:val="1"/>
          <w:iCs w:val="1"/>
          <w:color w:val="auto"/>
        </w:rPr>
        <w:t>Prorated RSUs</w:t>
      </w:r>
      <w:r>
        <w:rPr>
          <w:rFonts w:ascii="Times New Roman" w:cs="Times New Roman" w:eastAsia="Times New Roman" w:hAnsi="Times New Roman"/>
          <w:sz w:val="18"/>
          <w:szCs w:val="18"/>
          <w:color w:val="auto"/>
        </w:rPr>
        <w:t>”). The Prorated RSUs shall be equal to the product of (x) the number of Restricted Stock Units that would otherwise vest based on actual performance at the end of the Performance Period multiplied by (y) a fraction, the numerator of which is the number of days Participant was employed by the Company during the Performance Period from the first day of the Performance Period until the date on which Participant’s Continuous Service is terminated and the denominator of which is the number of days in the Performance Period. For the avoidance of doubt, the elimination of the Continuous Service condition with respect to the Prorated RSUs shall not otherwise accelerate the vesting of the Prorated RSUs (including to cause any such Prorated RSUs to be earned or vest in a number of shares greater than would otherwise be earned or vest pursuant to the satisfaction of the performance conditions set forth herein).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on a Qualifying</w:t>
      </w:r>
    </w:p>
    <w:p>
      <w:pPr>
        <w:spacing w:after="0" w:line="31" w:lineRule="exact"/>
        <w:rPr>
          <w:sz w:val="20"/>
          <w:szCs w:val="20"/>
          <w:color w:val="auto"/>
        </w:rPr>
      </w:pPr>
    </w:p>
    <w:p>
      <w:pPr>
        <w:jc w:val="both"/>
        <w:ind w:left="1220" w:hanging="2591"/>
        <w:spacing w:after="0" w:line="251" w:lineRule="auto"/>
        <w:tabs>
          <w:tab w:leader="none" w:pos="1200" w:val="left"/>
        </w:tabs>
        <w:rPr>
          <w:sz w:val="20"/>
          <w:szCs w:val="20"/>
          <w:color w:val="auto"/>
        </w:rPr>
      </w:pPr>
      <w:r>
        <w:rPr>
          <w:rFonts w:ascii="Times New Roman" w:cs="Times New Roman" w:eastAsia="Times New Roman" w:hAnsi="Times New Roman"/>
          <w:sz w:val="18"/>
          <w:szCs w:val="18"/>
          <w:b w:val="1"/>
          <w:bCs w:val="1"/>
          <w:color w:val="auto"/>
        </w:rPr>
        <w:t>Retirement:</w:t>
      </w:r>
      <w:r>
        <w:rPr>
          <w:sz w:val="20"/>
          <w:szCs w:val="20"/>
          <w:color w:val="auto"/>
        </w:rPr>
        <w:tab/>
      </w:r>
      <w:r>
        <w:rPr>
          <w:rFonts w:ascii="Times New Roman" w:cs="Times New Roman" w:eastAsia="Times New Roman" w:hAnsi="Times New Roman"/>
          <w:sz w:val="18"/>
          <w:szCs w:val="18"/>
          <w:color w:val="auto"/>
        </w:rPr>
        <w:t>If Participant’s Continuous Service terminates prior to the Certification Date due to a Qualifying Retirement, subject to Participant’s execution and delivery of the Company’s standard form of a general release of claims in favor of the Company and its Affiliates and such release becoming irrevocable no later than sixty (60) days following such termination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Condition</w:t>
      </w:r>
      <w:r>
        <w:rPr>
          <w:rFonts w:ascii="Times New Roman" w:cs="Times New Roman" w:eastAsia="Times New Roman" w:hAnsi="Times New Roman"/>
          <w:sz w:val="18"/>
          <w:szCs w:val="18"/>
          <w:color w:val="auto"/>
        </w:rPr>
        <w:t>”), and Participant’s continued compliance with the restrictive covenants set forth in the Team Member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Confidentiality Agreement, the Restricted Stock Units will remain outstanding and eligible to satisfy the Relative TSR Vesting Condition and the Non-GAAP Net Income Vesting Condition as though Participant remained in Continuous Service through the Certification Date. For the avoidance of doubt, the elimination of the Continuous Service condition shall not otherwise accelerate the vesting of the Restricted Stock Units (including to cause any such Restricted Stock Units to be earned or vest in a number of shares greater than would otherwise be earned or vest pursuant to the satisfaction of the performance conditions set forth herein).</w:t>
      </w:r>
    </w:p>
    <w:p>
      <w:pPr>
        <w:sectPr>
          <w:pgSz w:w="11900" w:h="16838" w:orient="portrait"/>
          <w:cols w:equalWidth="0" w:num="1">
            <w:col w:w="11240"/>
          </w:cols>
          <w:pgMar w:left="320" w:top="14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Treatment on a Termination</w:t>
      </w:r>
    </w:p>
    <w:p>
      <w:pPr>
        <w:spacing w:after="0" w:line="31" w:lineRule="exact"/>
        <w:rPr>
          <w:sz w:val="20"/>
          <w:szCs w:val="20"/>
          <w:color w:val="auto"/>
        </w:rPr>
      </w:pPr>
    </w:p>
    <w:p>
      <w:pPr>
        <w:jc w:val="both"/>
        <w:ind w:left="2280" w:hanging="2591"/>
        <w:spacing w:after="0" w:line="253" w:lineRule="auto"/>
        <w:tabs>
          <w:tab w:leader="none" w:pos="2260" w:val="left"/>
        </w:tabs>
        <w:rPr>
          <w:sz w:val="20"/>
          <w:szCs w:val="20"/>
          <w:color w:val="auto"/>
        </w:rPr>
      </w:pPr>
      <w:r>
        <w:rPr>
          <w:rFonts w:ascii="Times New Roman" w:cs="Times New Roman" w:eastAsia="Times New Roman" w:hAnsi="Times New Roman"/>
          <w:sz w:val="18"/>
          <w:szCs w:val="18"/>
          <w:b w:val="1"/>
          <w:bCs w:val="1"/>
          <w:color w:val="auto"/>
        </w:rPr>
        <w:t>Due to Death or Disability:</w:t>
      </w:r>
      <w:r>
        <w:rPr>
          <w:sz w:val="20"/>
          <w:szCs w:val="20"/>
          <w:color w:val="auto"/>
        </w:rPr>
        <w:tab/>
      </w:r>
      <w:r>
        <w:rPr>
          <w:rFonts w:ascii="Times New Roman" w:cs="Times New Roman" w:eastAsia="Times New Roman" w:hAnsi="Times New Roman"/>
          <w:sz w:val="18"/>
          <w:szCs w:val="18"/>
          <w:color w:val="auto"/>
        </w:rPr>
        <w:t>Subject to Participant’s (or Participant’s legal representative’s) satisfaction of the Release Condition, if, prior to a Change in Control, Participant’s Continuous Service terminates prior to the Certification Date as a result of Participant’s death or Disability, all Restricted Stock Units will vest based on deemed achievement of target performance as of the date on which such termination occurs.</w:t>
      </w:r>
    </w:p>
    <w:p>
      <w:pPr>
        <w:spacing w:after="0" w:line="200" w:lineRule="exact"/>
        <w:rPr>
          <w:sz w:val="20"/>
          <w:szCs w:val="20"/>
          <w:color w:val="auto"/>
        </w:rPr>
      </w:pPr>
    </w:p>
    <w:p>
      <w:pPr>
        <w:spacing w:after="0" w:line="228" w:lineRule="exact"/>
        <w:rPr>
          <w:sz w:val="20"/>
          <w:szCs w:val="20"/>
          <w:color w:val="auto"/>
        </w:rPr>
      </w:pPr>
    </w:p>
    <w:p>
      <w:pPr>
        <w:jc w:val="both"/>
        <w:ind w:left="1080" w:hanging="2591"/>
        <w:spacing w:after="0" w:line="25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Definitions:</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Beginning Share Price</w:t>
      </w:r>
      <w:r>
        <w:rPr>
          <w:rFonts w:ascii="Times New Roman" w:cs="Times New Roman" w:eastAsia="Times New Roman" w:hAnsi="Times New Roman"/>
          <w:sz w:val="18"/>
          <w:szCs w:val="18"/>
          <w:color w:val="auto"/>
        </w:rPr>
        <w:t>” shall mean the product of (x) the average closing price of the common stock of the applicable company during the ninety (90) consecutive trading days preceding the first day of the Performance Period, in each case, with such stock price rounded down to the nearest cent, and (y) the sum of (A) one share of common stock of the applicable company, plus (B) a cumulative number of shares of common stock purchased with the dividends declared on the common stock, assuming same day reinvestment of the dividend in shares of common stock at the closing price on the ex-dividend date, for the ex-dividend dates that occur during the ninety (90) consecutive trading days preceding the first day of the Performance Period, rounded down to the nearest thousandths.</w:t>
      </w:r>
    </w:p>
    <w:p>
      <w:pPr>
        <w:spacing w:after="0" w:line="200" w:lineRule="exact"/>
        <w:rPr>
          <w:sz w:val="20"/>
          <w:szCs w:val="20"/>
          <w:color w:val="auto"/>
        </w:rPr>
      </w:pPr>
    </w:p>
    <w:p>
      <w:pPr>
        <w:spacing w:after="0" w:line="203" w:lineRule="exact"/>
        <w:rPr>
          <w:sz w:val="20"/>
          <w:szCs w:val="20"/>
          <w:color w:val="auto"/>
        </w:rPr>
      </w:pPr>
    </w:p>
    <w:p>
      <w:pPr>
        <w:jc w:val="both"/>
        <w:ind w:left="260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Comparator Group</w:t>
      </w:r>
      <w:r>
        <w:rPr>
          <w:rFonts w:ascii="Times New Roman" w:cs="Times New Roman" w:eastAsia="Times New Roman" w:hAnsi="Times New Roman"/>
          <w:sz w:val="18"/>
          <w:szCs w:val="18"/>
          <w:color w:val="auto"/>
        </w:rPr>
        <w:t>” shall mean companies comprising the Russell 3000 Index as of the first day of the Performance Period, inclusive of the Company. The Comparator Group may be changed as follows: (i) in the event of a merger, acquisition or business combination transaction of a member of the Comparator Group with or by another member of the Comparator Group, the surviving entity will remain in the Comparator Group; (ii) in the event of a merger, acquisition or other business combination transaction of a member of the Comparator Group with or by another company that is not a member of the Comparator Group, or “going private transaction” where the member of the Comparator Group is not the surviving entity or is otherwise no longer publicly traded, the company will no longer be a member of the Comparator Group; and (iii) in the event of a bankruptcy of a member of the Comparator Group such company will remain a member of the Comparator Group so long as such company is publicly traded.</w:t>
      </w:r>
    </w:p>
    <w:p>
      <w:pPr>
        <w:spacing w:after="0" w:line="188" w:lineRule="exact"/>
        <w:rPr>
          <w:sz w:val="20"/>
          <w:szCs w:val="20"/>
          <w:color w:val="auto"/>
        </w:rPr>
      </w:pPr>
    </w:p>
    <w:p>
      <w:pPr>
        <w:jc w:val="both"/>
        <w:ind w:left="26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Ending Share Price</w:t>
      </w:r>
      <w:r>
        <w:rPr>
          <w:rFonts w:ascii="Times New Roman" w:cs="Times New Roman" w:eastAsia="Times New Roman" w:hAnsi="Times New Roman"/>
          <w:sz w:val="18"/>
          <w:szCs w:val="18"/>
          <w:color w:val="auto"/>
        </w:rPr>
        <w:t>” shall mean the product of (x) the average closing price of the common stock of the applicable company during the ninety (90) consecutive trading days ending on (and including) the last day of the Performance Period, in each case, with such stock price rounded down to the nearest cent, and (y) the sum of (A) one share of common stock of the applicable company, plus (B) a cumulative number of shares of common stock purchased with the dividends declared on the common stock, assuming same day reinvestment of the dividend in shares of common stock at the closing price on the ex-dividend date, for the ex-dividend dates that occur during the ninety (90) consecutive trading days preceding the first day of the Performance Period through the expiration of the Performance Period, rounded down to the nearest thousandths; provided, that, notwithstanding the foregoing, in the event of a Change in Control, the Ending Share Price in respect of the Company shall be equal to the price per share of Common Stock to be paid to the holder thereof in accordance with the definitive agreement governing the transaction constituting the Change in Control (or, in the absence of such agreement, the closing price per share of Common Stock as reported for the last trading day immediately preceding the consummation of the Change in Control), adjusted to reflect an assumed reinvestment of any dividends in accordance with clause (B) above.</w:t>
      </w:r>
    </w:p>
    <w:p>
      <w:pPr>
        <w:sectPr>
          <w:pgSz w:w="11900" w:h="16838" w:orient="portrait"/>
          <w:cols w:equalWidth="0" w:num="1">
            <w:col w:w="11240"/>
          </w:cols>
          <w:pgMar w:left="320" w:top="1413" w:right="339" w:bottom="1440" w:gutter="0" w:footer="0" w:header="0"/>
        </w:sectPr>
      </w:pPr>
    </w:p>
    <w:bookmarkStart w:id="70" w:name="page71"/>
    <w:bookmarkEnd w:id="70"/>
    <w:p>
      <w:pPr>
        <w:spacing w:after="0" w:line="190" w:lineRule="exact"/>
        <w:rPr>
          <w:sz w:val="20"/>
          <w:szCs w:val="20"/>
          <w:color w:val="auto"/>
        </w:rPr>
      </w:pPr>
    </w:p>
    <w:p>
      <w:pPr>
        <w:jc w:val="both"/>
        <w:ind w:left="26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Non-GAAP Net Income Per Share</w:t>
      </w:r>
      <w:r>
        <w:rPr>
          <w:rFonts w:ascii="Times New Roman" w:cs="Times New Roman" w:eastAsia="Times New Roman" w:hAnsi="Times New Roman"/>
          <w:sz w:val="18"/>
          <w:szCs w:val="18"/>
          <w:color w:val="auto"/>
        </w:rPr>
        <w:t>” shall mean, with respect to the Performance Period, the sum of the actual, reported non-GAAP net income per share for each fiscal year during the Performance Period, as determined by reference to the Company’s annual financial statements made available following the completion of each fiscal year during the Performance Period.</w:t>
      </w:r>
    </w:p>
    <w:p>
      <w:pPr>
        <w:spacing w:after="0" w:line="176" w:lineRule="exact"/>
        <w:rPr>
          <w:sz w:val="20"/>
          <w:szCs w:val="20"/>
          <w:color w:val="auto"/>
        </w:rPr>
      </w:pPr>
    </w:p>
    <w:p>
      <w:pPr>
        <w:jc w:val="both"/>
        <w:ind w:left="26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Retirement</w:t>
      </w:r>
      <w:r>
        <w:rPr>
          <w:rFonts w:ascii="Times New Roman" w:cs="Times New Roman" w:eastAsia="Times New Roman" w:hAnsi="Times New Roman"/>
          <w:sz w:val="18"/>
          <w:szCs w:val="18"/>
          <w:color w:val="auto"/>
        </w:rPr>
        <w:t>” shall mean, in the absence of an employment agreement between Participant and the Company or any of its Affiliates otherwise defining Qualifying Retirement, (A) (i) Participant’s attainment of age fifty-five (55), and (ii) Participant has provided at least ten (10) years of Continuous Service, or (B) (i) Participant’s attainment of age sixty-five (65), and (ii) Participant has provided at least five (5) years of Continuous Service.</w:t>
      </w:r>
    </w:p>
    <w:p>
      <w:pPr>
        <w:spacing w:after="0" w:line="176" w:lineRule="exact"/>
        <w:rPr>
          <w:sz w:val="20"/>
          <w:szCs w:val="20"/>
          <w:color w:val="auto"/>
        </w:rPr>
      </w:pPr>
    </w:p>
    <w:p>
      <w:pPr>
        <w:jc w:val="both"/>
        <w:ind w:left="26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Shareholder Return</w:t>
      </w:r>
      <w:r>
        <w:rPr>
          <w:rFonts w:ascii="Times New Roman" w:cs="Times New Roman" w:eastAsia="Times New Roman" w:hAnsi="Times New Roman"/>
          <w:sz w:val="18"/>
          <w:szCs w:val="18"/>
          <w:color w:val="auto"/>
        </w:rPr>
        <w:t>” shall mean for each member of the Comparator Group, the percentage change in the value of the Common Stock or the common stock of a member of the Comparator Group, as applicable, determined by dividing (x) the Ending Share Price by (y) the Beginning Share Price, as determined by the Committee in its sole discretion, and then subtracting by 1.</w:t>
      </w:r>
    </w:p>
    <w:p>
      <w:pPr>
        <w:spacing w:after="0" w:line="136" w:lineRule="exact"/>
        <w:rPr>
          <w:sz w:val="20"/>
          <w:szCs w:val="20"/>
          <w:color w:val="auto"/>
        </w:rPr>
      </w:pPr>
    </w:p>
    <w:p>
      <w:pPr>
        <w:jc w:val="both"/>
        <w:ind w:left="1700" w:hanging="2534"/>
        <w:spacing w:after="0" w:line="266" w:lineRule="auto"/>
        <w:tabs>
          <w:tab w:leader="none" w:pos="168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Subject to any change in respect of a Capitalization Adjustment (as provided in the Plan), a number of shares of Common Stock will be issued based on the number of Restricted Stock Units that are earned and become vested at the time set forth in Section 6 of the Restricted Stock Unit Award Agreement.</w:t>
      </w:r>
    </w:p>
    <w:p>
      <w:pPr>
        <w:spacing w:after="0" w:line="149" w:lineRule="exact"/>
        <w:rPr>
          <w:sz w:val="20"/>
          <w:szCs w:val="20"/>
          <w:color w:val="auto"/>
        </w:rPr>
      </w:pPr>
    </w:p>
    <w:p>
      <w:pPr>
        <w:jc w:val="both"/>
        <w:ind w:left="2080" w:hanging="2534"/>
        <w:spacing w:after="0" w:line="256" w:lineRule="auto"/>
        <w:tabs>
          <w:tab w:leader="none" w:pos="2060" w:val="left"/>
        </w:tabs>
        <w:rPr>
          <w:sz w:val="20"/>
          <w:szCs w:val="20"/>
          <w:color w:val="auto"/>
        </w:rPr>
      </w:pPr>
      <w:r>
        <w:rPr>
          <w:rFonts w:ascii="Times New Roman" w:cs="Times New Roman" w:eastAsia="Times New Roman" w:hAnsi="Times New Roman"/>
          <w:sz w:val="18"/>
          <w:szCs w:val="18"/>
          <w:b w:val="1"/>
          <w:bCs w:val="1"/>
          <w:color w:val="auto"/>
        </w:rPr>
        <w:t>Restrictive Covenants:</w:t>
      </w:r>
      <w:r>
        <w:rPr>
          <w:sz w:val="20"/>
          <w:szCs w:val="20"/>
          <w:color w:val="auto"/>
        </w:rPr>
        <w:tab/>
      </w:r>
      <w:r>
        <w:rPr>
          <w:rFonts w:ascii="Times New Roman" w:cs="Times New Roman" w:eastAsia="Times New Roman" w:hAnsi="Times New Roman"/>
          <w:sz w:val="18"/>
          <w:szCs w:val="18"/>
          <w:color w:val="auto"/>
        </w:rPr>
        <w:t>As a condition of the grant of Restricted Stock Units hereunder, the undersigned Participant hereby affirms all confidentiality, non-interference, invention assignment or similar covenants previously made by Participant in favor of the Company and acknowledges that such covenants are independent obligations of Participant (such covenants, the “</w:t>
      </w:r>
      <w:r>
        <w:rPr>
          <w:rFonts w:ascii="Times New Roman" w:cs="Times New Roman" w:eastAsia="Times New Roman" w:hAnsi="Times New Roman"/>
          <w:sz w:val="18"/>
          <w:szCs w:val="18"/>
          <w:b w:val="1"/>
          <w:bCs w:val="1"/>
          <w:i w:val="1"/>
          <w:iCs w:val="1"/>
          <w:color w:val="auto"/>
        </w:rPr>
        <w:t>Team Member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Participant hereby acknowledges and agrees that this Grant Notice and the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Confidentiality Agreement will be considered separate contracts, and the Team Member Confidentiality Agreement will survive the termination of this Grant Notice for any reason.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9" w:lineRule="exact"/>
        <w:rPr>
          <w:sz w:val="20"/>
          <w:szCs w:val="20"/>
          <w:color w:val="auto"/>
        </w:rPr>
      </w:pPr>
    </w:p>
    <w:p>
      <w:pPr>
        <w:jc w:val="both"/>
        <w:ind w:left="1520" w:hanging="2534"/>
        <w:spacing w:after="0" w:line="253" w:lineRule="auto"/>
        <w:tabs>
          <w:tab w:leader="none" w:pos="1500" w:val="left"/>
        </w:tabs>
        <w:rPr>
          <w:sz w:val="20"/>
          <w:szCs w:val="20"/>
          <w:color w:val="auto"/>
        </w:rPr>
      </w:pPr>
      <w:r>
        <w:rPr>
          <w:rFonts w:ascii="Times New Roman" w:cs="Times New Roman" w:eastAsia="Times New Roman" w:hAnsi="Times New Roman"/>
          <w:sz w:val="18"/>
          <w:szCs w:val="18"/>
          <w:b w:val="1"/>
          <w:bCs w:val="1"/>
          <w:color w:val="auto"/>
        </w:rPr>
        <w:t>Guidelines, Etc.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Restricted Stock Units (and any compensation paid or shares issued in respect of the Restricted Stock Units) are subject to (i) any share ownership guidelines to which Participant may be subject, (ii) any insider trading policy adopted by the Company and any applicable law regulating trading by employees, and (iii) the HealthEquity, Inc. Clawback Policy, or any other clawback policy adopted by the Company, and any compensation recovery policy otherwise required by applicable law.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w:t>
      </w:r>
    </w:p>
    <w:p>
      <w:pPr>
        <w:spacing w:after="0" w:line="31" w:lineRule="exact"/>
        <w:rPr>
          <w:sz w:val="20"/>
          <w:szCs w:val="20"/>
          <w:color w:val="auto"/>
        </w:rPr>
      </w:pPr>
    </w:p>
    <w:p>
      <w:pPr>
        <w:jc w:val="both"/>
        <w:ind w:left="2360" w:hanging="2534"/>
        <w:spacing w:after="0" w:line="252" w:lineRule="auto"/>
        <w:tabs>
          <w:tab w:leader="none" w:pos="2340" w:val="left"/>
        </w:tabs>
        <w:rPr>
          <w:sz w:val="20"/>
          <w:szCs w:val="20"/>
          <w:color w:val="auto"/>
        </w:rPr>
      </w:pPr>
      <w:r>
        <w:rPr>
          <w:rFonts w:ascii="Times New Roman" w:cs="Times New Roman" w:eastAsia="Times New Roman" w:hAnsi="Times New Roman"/>
          <w:sz w:val="18"/>
          <w:szCs w:val="18"/>
          <w:b w:val="1"/>
          <w:bCs w:val="1"/>
          <w:color w:val="auto"/>
        </w:rPr>
        <w:t>Terms/Acknowledgements:</w:t>
      </w:r>
      <w:r>
        <w:rPr>
          <w:sz w:val="20"/>
          <w:szCs w:val="20"/>
          <w:color w:val="auto"/>
        </w:rPr>
        <w:tab/>
      </w:r>
      <w:r>
        <w:rPr>
          <w:rFonts w:ascii="Times New Roman" w:cs="Times New Roman" w:eastAsia="Times New Roman" w:hAnsi="Times New Roman"/>
          <w:sz w:val="18"/>
          <w:szCs w:val="18"/>
          <w:color w:val="auto"/>
        </w:rPr>
        <w:t>By signing below or, if applicable, electronically accepting this Restricted Stock Unit Award, the undersigned Participant acknowledges having received and reviewed in their entirety, and fully understands and agrees to all provisions of, this Grant Notice, the Restricted Stock Unit Award Agreement, the Plan and the Team Member Confidentiality Agreement. Participant acknowledges and agrees that this Grant Notice and the Performance-Based Restricted Stock Unit Award Agreement may not be modified, amended or revised except as provided in the Plan. Participant further acknowledges that, as of the Date of Grant, this Grant Notice, the Restricted Stock Unit Award Agreement, the Plan and the Team</w:t>
      </w:r>
    </w:p>
    <w:p>
      <w:pPr>
        <w:sectPr>
          <w:pgSz w:w="11900" w:h="16838" w:orient="portrait"/>
          <w:cols w:equalWidth="0" w:num="1">
            <w:col w:w="11240"/>
          </w:cols>
          <w:pgMar w:left="320" w:top="1440" w:right="339" w:bottom="1440" w:gutter="0" w:footer="0" w:header="0"/>
        </w:sectPr>
      </w:pPr>
    </w:p>
    <w:bookmarkStart w:id="71" w:name="page72"/>
    <w:bookmarkEnd w:id="71"/>
    <w:p>
      <w:pPr>
        <w:jc w:val="both"/>
        <w:ind w:left="2600"/>
        <w:spacing w:after="0" w:line="254" w:lineRule="auto"/>
        <w:rPr>
          <w:sz w:val="20"/>
          <w:szCs w:val="20"/>
          <w:color w:val="auto"/>
        </w:rPr>
      </w:pPr>
      <w:r>
        <w:rPr>
          <w:rFonts w:ascii="Times New Roman" w:cs="Times New Roman" w:eastAsia="Times New Roman" w:hAnsi="Times New Roman"/>
          <w:sz w:val="18"/>
          <w:szCs w:val="18"/>
          <w:color w:val="auto"/>
        </w:rPr>
        <w:t>Member Confidentiality Agreement set forth the entire agreement and understanding between Participant and the Company regarding the acquisition of the Common Stock pursuant to the Award specified above and supersede all prior oral and written agreements, promises and/or representations on that subject with the exception of (i) Restricted Stock Units previously granted and delivered to Participant, (ii) the HealthEquity, Inc. Clawback Policy or any other compensation recovery policy that is adopted by the Company or is otherwise required by applicable law, and (iii) any written employment or severance arrangement that would provide for vesting acceleration of this Restricted Stock Unit Award upon the terms and conditions set forth therein. By accepting this Restricted Stock Unit Award, Participant consents to receive such documents by electronic delivery and to participate in the Plan through an online or electronic system established and maintained by the Company or another third party designated by the Company.</w:t>
      </w:r>
    </w:p>
    <w:p>
      <w:pPr>
        <w:spacing w:after="0" w:line="144" w:lineRule="exact"/>
        <w:rPr>
          <w:sz w:val="20"/>
          <w:szCs w:val="20"/>
          <w:color w:val="auto"/>
        </w:rPr>
      </w:pPr>
    </w:p>
    <w:p>
      <w:pPr>
        <w:jc w:val="both"/>
        <w:ind w:left="2320" w:hanging="2534"/>
        <w:spacing w:after="0" w:line="252" w:lineRule="auto"/>
        <w:tabs>
          <w:tab w:leader="none" w:pos="2300" w:val="left"/>
        </w:tabs>
        <w:rPr>
          <w:sz w:val="20"/>
          <w:szCs w:val="20"/>
          <w:color w:val="auto"/>
        </w:rPr>
      </w:pPr>
      <w:r>
        <w:rPr>
          <w:rFonts w:ascii="Times New Roman" w:cs="Times New Roman" w:eastAsia="Times New Roman" w:hAnsi="Times New Roman"/>
          <w:sz w:val="18"/>
          <w:szCs w:val="18"/>
          <w:b w:val="1"/>
          <w:bCs w:val="1"/>
          <w:color w:val="auto"/>
        </w:rPr>
        <w:t>Withholding Tax Election:</w:t>
      </w:r>
      <w:r>
        <w:rPr>
          <w:sz w:val="20"/>
          <w:szCs w:val="20"/>
          <w:color w:val="auto"/>
        </w:rPr>
        <w:tab/>
      </w:r>
      <w:r>
        <w:rPr>
          <w:rFonts w:ascii="Times New Roman" w:cs="Times New Roman" w:eastAsia="Times New Roman" w:hAnsi="Times New Roman"/>
          <w:sz w:val="18"/>
          <w:szCs w:val="18"/>
          <w:color w:val="auto"/>
        </w:rPr>
        <w:t>Participant understands that by accepting this Restricted Stock Unit Award, Participant hereby (i) affirmatively elects (the “</w:t>
      </w:r>
      <w:r>
        <w:rPr>
          <w:rFonts w:ascii="Times New Roman" w:cs="Times New Roman" w:eastAsia="Times New Roman" w:hAnsi="Times New Roman"/>
          <w:sz w:val="18"/>
          <w:szCs w:val="18"/>
          <w:b w:val="1"/>
          <w:bCs w:val="1"/>
          <w:i w:val="1"/>
          <w:iCs w:val="1"/>
          <w:color w:val="auto"/>
        </w:rPr>
        <w:t>Sell to Cover Election</w:t>
      </w:r>
      <w:r>
        <w:rPr>
          <w:rFonts w:ascii="Times New Roman" w:cs="Times New Roman" w:eastAsia="Times New Roman" w:hAnsi="Times New Roman"/>
          <w:sz w:val="18"/>
          <w:szCs w:val="18"/>
          <w:color w:val="auto"/>
        </w:rPr>
        <w:t>”), effective as of the Date of Grant, to sell that number of shares of Common Stock determined in accordance with Section 10(a) of the Restricted Stock Unit Award Agreement, and to allow the Agent (as defined in the Restricted Stock Unit Award Agreement) to remit the cash proceeds of such sale to the Company as more specifically set forth in Section 10(a) of the Restricted Stock Unit Award Agreement; (ii) directs the Company to make a cash payment equal to the required tax withholding from the cash proceeds of such sale directly to the appropriate taxing authorities; and (iii) represents and warrants that (x) Participant has carefully reviewed Section 10(a) of the Restricted Stock Unit Award Agreement, (y) on the date Participant accepts this Restricted Stock Unit Award, he or she is not aware of any material, nonpublic information with respect to the Company or any securities of the Company, is not subject to any legal, regulatory or contractual restriction that would prevent the Agent from conducting sales, does not have, and will not attempt to exercise, authority, influence or control over any sales of shares of Common Stock effected by the Agent pursuant to the Restricted Stock Unit Award Agreement, and is entering into the Performance-Based Restricted Stock Unit Award Agreement and the Sell to Cover Election in good faith and not as part of a plan or scheme to evade the prohibitions of Rule 10b5-1 (regarding trading of the Company’s securities on the basis of material nonpublic information)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(z) it is Participant’s intent that the Sell to Cover Election comply with the requirements of Rule 10b5-1(c)(1)(i)(B) under the Exchange Act and be interpreted to comply with the requirements of Rule 10b5-1(c) under the Exchange Act.</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Award of Restricted Stock Units is subject to Participant’s returning a signed copy of this Grant Notice to the Company or, if applicable, electronically accepting this Award through the E*Trade website. Participant shall forfeit the Restricted Stock Units if Participant does not execute this Grant Notice or otherwise accept the Restricted Stock Units within 360 days of the Vesting Commencement Date.</w:t>
      </w:r>
    </w:p>
    <w:p>
      <w:pPr>
        <w:spacing w:after="0" w:line="319"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HealthEquity, Inc.</w:t>
            </w:r>
          </w:p>
        </w:tc>
        <w:tc>
          <w:tcPr>
            <w:tcW w:w="3000" w:type="dxa"/>
            <w:vAlign w:val="bottom"/>
            <w:gridSpan w:val="4"/>
          </w:tcPr>
          <w:p>
            <w:pPr>
              <w:ind w:left="2120"/>
              <w:spacing w:after="0"/>
              <w:rPr>
                <w:sz w:val="20"/>
                <w:szCs w:val="20"/>
                <w:color w:val="auto"/>
              </w:rPr>
            </w:pPr>
            <w:r>
              <w:rPr>
                <w:rFonts w:ascii="Times New Roman" w:cs="Times New Roman" w:eastAsia="Times New Roman" w:hAnsi="Times New Roman"/>
                <w:sz w:val="18"/>
                <w:szCs w:val="18"/>
                <w:b w:val="1"/>
                <w:bCs w:val="1"/>
                <w:color w:val="auto"/>
                <w:w w:val="98"/>
              </w:rPr>
              <w:t>Participant</w:t>
            </w:r>
          </w:p>
        </w:tc>
      </w:tr>
      <w:tr>
        <w:trPr>
          <w:trHeight w:val="39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180" w:type="dxa"/>
            <w:vAlign w:val="bottom"/>
          </w:tcPr>
          <w:p>
            <w:pPr>
              <w:spacing w:after="0"/>
              <w:rPr>
                <w:sz w:val="24"/>
                <w:szCs w:val="24"/>
                <w:color w:val="auto"/>
              </w:rPr>
            </w:pPr>
          </w:p>
        </w:tc>
        <w:tc>
          <w:tcPr>
            <w:tcW w:w="3100" w:type="dxa"/>
            <w:vAlign w:val="bottom"/>
            <w:gridSpan w:val="2"/>
          </w:tcPr>
          <w:p>
            <w:pPr>
              <w:spacing w:after="0"/>
              <w:rPr>
                <w:sz w:val="24"/>
                <w:szCs w:val="24"/>
                <w:color w:val="auto"/>
              </w:rPr>
            </w:pPr>
          </w:p>
        </w:tc>
        <w:tc>
          <w:tcPr>
            <w:tcW w:w="3000" w:type="dxa"/>
            <w:vAlign w:val="bottom"/>
            <w:gridSpan w:val="4"/>
          </w:tcPr>
          <w:p>
            <w:pPr>
              <w:ind w:left="2120"/>
              <w:spacing w:after="0"/>
              <w:rPr>
                <w:sz w:val="20"/>
                <w:szCs w:val="20"/>
                <w:color w:val="auto"/>
              </w:rPr>
            </w:pPr>
            <w:r>
              <w:rPr>
                <w:rFonts w:ascii="Times New Roman" w:cs="Times New Roman" w:eastAsia="Times New Roman" w:hAnsi="Times New Roman"/>
                <w:sz w:val="18"/>
                <w:szCs w:val="18"/>
                <w:color w:val="auto"/>
              </w:rPr>
              <w:t>By:</w:t>
            </w:r>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8"/>
        </w:trPr>
        <w:tc>
          <w:tcPr>
            <w:tcW w:w="3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Signature</w:t>
            </w:r>
          </w:p>
        </w:tc>
        <w:tc>
          <w:tcPr>
            <w:tcW w:w="3000" w:type="dxa"/>
            <w:vAlign w:val="bottom"/>
            <w:gridSpan w:val="4"/>
          </w:tcPr>
          <w:p>
            <w:pPr>
              <w:ind w:left="2300"/>
              <w:spacing w:after="0"/>
              <w:rPr>
                <w:sz w:val="20"/>
                <w:szCs w:val="20"/>
                <w:color w:val="auto"/>
              </w:rPr>
            </w:pPr>
            <w:r>
              <w:rPr>
                <w:rFonts w:ascii="Times New Roman" w:cs="Times New Roman" w:eastAsia="Times New Roman" w:hAnsi="Times New Roman"/>
                <w:sz w:val="18"/>
                <w:szCs w:val="18"/>
                <w:color w:val="auto"/>
                <w:w w:val="98"/>
              </w:rPr>
              <w:t>Signature</w:t>
            </w:r>
          </w:p>
        </w:tc>
      </w:tr>
      <w:tr>
        <w:trPr>
          <w:trHeight w:val="194"/>
        </w:trPr>
        <w:tc>
          <w:tcPr>
            <w:tcW w:w="4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00" w:type="dxa"/>
            <w:vAlign w:val="bottom"/>
            <w:gridSpan w:val="4"/>
          </w:tcPr>
          <w:p>
            <w:pPr>
              <w:ind w:left="2120"/>
              <w:spacing w:after="0" w:line="194" w:lineRule="exact"/>
              <w:rPr>
                <w:sz w:val="20"/>
                <w:szCs w:val="20"/>
                <w:color w:val="auto"/>
              </w:rPr>
            </w:pPr>
            <w:r>
              <w:rPr>
                <w:rFonts w:ascii="Times New Roman" w:cs="Times New Roman" w:eastAsia="Times New Roman" w:hAnsi="Times New Roman"/>
                <w:sz w:val="18"/>
                <w:szCs w:val="18"/>
                <w:color w:val="auto"/>
              </w:rPr>
              <w:t>Title:</w:t>
            </w:r>
          </w:p>
        </w:tc>
      </w:tr>
      <w:tr>
        <w:trPr>
          <w:trHeight w:val="20"/>
        </w:trPr>
        <w:tc>
          <w:tcPr>
            <w:tcW w:w="44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5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1">
            <w:col w:w="11240"/>
          </w:cols>
          <w:pgMar w:left="320" w:top="1417" w:right="339" w:bottom="1440" w:gutter="0" w:footer="0" w:header="0"/>
        </w:sectPr>
      </w:pPr>
    </w:p>
    <w:bookmarkStart w:id="72" w:name="page73"/>
    <w:bookmarkEnd w:id="72"/>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Attachments</w:t>
      </w:r>
      <w:r>
        <w:rPr>
          <w:rFonts w:ascii="Times New Roman" w:cs="Times New Roman" w:eastAsia="Times New Roman" w:hAnsi="Times New Roman"/>
          <w:sz w:val="17"/>
          <w:szCs w:val="17"/>
          <w:color w:val="auto"/>
        </w:rPr>
        <w:t>: Performance-Based Restricted Stock Unit Award Agreement and 2024 Equity Incentive Plan</w:t>
      </w:r>
    </w:p>
    <w:p>
      <w:pPr>
        <w:sectPr>
          <w:pgSz w:w="11900" w:h="16838" w:orient="portrait"/>
          <w:cols w:equalWidth="0" w:num="1">
            <w:col w:w="10139"/>
          </w:cols>
          <w:pgMar w:left="320" w:top="1440" w:right="144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1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4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(see attached)</w:t>
      </w:r>
    </w:p>
    <w:p>
      <w:pPr>
        <w:sectPr>
          <w:pgSz w:w="11900" w:h="16838" w:orient="portrait"/>
          <w:cols w:equalWidth="0" w:num="1">
            <w:col w:w="9019"/>
          </w:cols>
          <w:pgMar w:left="1440" w:top="1413" w:right="1440" w:bottom="1440" w:gutter="0" w:footer="0" w:header="0"/>
        </w:sectPr>
      </w:pPr>
    </w:p>
    <w:bookmarkStart w:id="74" w:name="page75"/>
    <w:bookmarkEnd w:id="74"/>
    <w:p>
      <w:pPr>
        <w:ind w:left="3960"/>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18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attachment)</w:t>
      </w:r>
    </w:p>
    <w:p>
      <w:pPr>
        <w:sectPr>
          <w:pgSz w:w="11900" w:h="16838" w:orient="portrait"/>
          <w:cols w:equalWidth="0" w:num="1">
            <w:col w:w="9019"/>
          </w:cols>
          <w:pgMar w:left="1440" w:top="1413" w:right="1440" w:bottom="1440" w:gutter="0" w:footer="0" w:header="0"/>
        </w:sectPr>
      </w:pPr>
    </w:p>
    <w:bookmarkStart w:id="75" w:name="page76"/>
    <w:bookmarkEnd w:id="75"/>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This Amendment No. 1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Employment Agreement (as defined below) is made and entered into as of 5th day of May 2026, by and between HealthEquity,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Stephen D. Neeleman, M.D.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Employment Agreement, entered into as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2014,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which governs the terms of Executive’s employment with the Company; and</w:t>
      </w:r>
    </w:p>
    <w:p>
      <w:pPr>
        <w:spacing w:after="0" w:line="19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now desire to amend the Employment Agreement, effective immediately, to more accurately reflect Executive’s annual incentive compensation opportunity.</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receipt and sufficiency of which are mutually acknowledged, the Company and Executive hereby agree as follows:</w:t>
      </w:r>
    </w:p>
    <w:p>
      <w:pPr>
        <w:spacing w:after="0" w:line="186" w:lineRule="exact"/>
        <w:rPr>
          <w:sz w:val="20"/>
          <w:szCs w:val="20"/>
          <w:color w:val="auto"/>
        </w:rPr>
      </w:pPr>
    </w:p>
    <w:p>
      <w:pPr>
        <w:ind w:right="20" w:firstLine="656"/>
        <w:spacing w:after="0" w:line="271" w:lineRule="auto"/>
        <w:tabs>
          <w:tab w:leader="none" w:pos="12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that are not defined in this Amendment shall have the meanings ascribed thereto in the Employment Agreement.</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Employment Agreement</w:t>
      </w:r>
      <w:r>
        <w:rPr>
          <w:rFonts w:ascii="Times New Roman" w:cs="Times New Roman" w:eastAsia="Times New Roman" w:hAnsi="Times New Roman"/>
          <w:sz w:val="22"/>
          <w:szCs w:val="22"/>
          <w:color w:val="auto"/>
        </w:rPr>
        <w:t>. Section 8(d)(iv) of the Employment Agreement is amended and restated in its entirety to read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 So long as Executive has executed and not revoked the Release of Claims to this Agreement,</w:t>
      </w:r>
    </w:p>
    <w:p>
      <w:pPr>
        <w:spacing w:after="0" w:line="29" w:lineRule="exact"/>
        <w:rPr>
          <w:sz w:val="20"/>
          <w:szCs w:val="20"/>
          <w:color w:val="auto"/>
        </w:rPr>
      </w:pPr>
    </w:p>
    <w:p>
      <w:pPr>
        <w:jc w:val="both"/>
        <w:ind w:left="1300" w:right="1300" w:firstLine="4"/>
        <w:spacing w:after="0" w:line="247" w:lineRule="auto"/>
        <w:tabs>
          <w:tab w:leader="none" w:pos="155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termination occurs prior to the consummation of a Change in Control, continued payment of one hundred percent (100%) of Executive’s Base Salary, payable in substantially equal installments during the Severance Term in accordance with the Company’s regular payroll practices, and (ii) if such termination occurs on or following the consummation of a Change in Control, payment of an amount equal to one hundred percent (100%) of the sum of Executive’s Base Salary and target Annual Bonus, payable in a single lump sum on the next regularly scheduled payroll date following the date on which the Release of Claims becomes irrevocable (the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and Confirmation</w:t>
      </w:r>
      <w:r>
        <w:rPr>
          <w:rFonts w:ascii="Times New Roman" w:cs="Times New Roman" w:eastAsia="Times New Roman" w:hAnsi="Times New Roman"/>
          <w:sz w:val="22"/>
          <w:szCs w:val="22"/>
          <w:color w:val="auto"/>
        </w:rPr>
        <w:t>. Except as specifically amended by this Amendment, the Employment Agreement is hereby ratified and confirmed in all respects and remains valid and in full force and effect. Whenever the Employment Agreement is referred to in this Amendment or in any other agreement, document or instrument, such reference shall be</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deemed to be to the Employment Agreement, as amended by this Amendment, whether or not specific reference is made to this Amendment.</w:t>
      </w:r>
    </w:p>
    <w:p>
      <w:pPr>
        <w:spacing w:after="0" w:line="158" w:lineRule="exact"/>
        <w:rPr>
          <w:sz w:val="20"/>
          <w:szCs w:val="20"/>
          <w:color w:val="auto"/>
        </w:rPr>
      </w:pPr>
    </w:p>
    <w:p>
      <w:pPr>
        <w:jc w:val="both"/>
        <w:ind w:firstLine="656"/>
        <w:spacing w:after="0" w:line="263"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Employment Agreement and this Amendment contain the entire understanding and agreement of the parties hereto regarding the employment of Executive and supersede all prior negotiations, discussions, correspondence, communications, understandings and agreements between the parties relating to the subject matter hereof.</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Jurisdiction; Arbitration of Disputes</w:t>
      </w:r>
      <w:r>
        <w:rPr>
          <w:rFonts w:ascii="Times New Roman" w:cs="Times New Roman" w:eastAsia="Times New Roman" w:hAnsi="Times New Roman"/>
          <w:sz w:val="22"/>
          <w:szCs w:val="22"/>
          <w:color w:val="auto"/>
        </w:rPr>
        <w:t>. The provisions of Section 20 of the Employment Agreement (</w:t>
      </w:r>
      <w:r>
        <w:rPr>
          <w:rFonts w:ascii="Times New Roman" w:cs="Times New Roman" w:eastAsia="Times New Roman" w:hAnsi="Times New Roman"/>
          <w:sz w:val="22"/>
          <w:szCs w:val="22"/>
          <w:i w:val="1"/>
          <w:iCs w:val="1"/>
          <w:color w:val="auto"/>
        </w:rPr>
        <w:t>Governing Law and Jurisdiction</w:t>
      </w:r>
      <w:r>
        <w:rPr>
          <w:rFonts w:ascii="Times New Roman" w:cs="Times New Roman" w:eastAsia="Times New Roman" w:hAnsi="Times New Roman"/>
          <w:sz w:val="22"/>
          <w:szCs w:val="22"/>
          <w:color w:val="auto"/>
        </w:rPr>
        <w:t xml:space="preserve">) apply with respect to this Amendment and are incorporated herein,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two (2) or more counterparts, each of which shall be deemed to be an original but all of which together shall constitute one and the same instrument. The execution of this Amendment may be by actual signature or by signature delivered by facsimile or by e-mail as a portable document format (.pdf) file or image file attachment.</w:t>
      </w:r>
    </w:p>
    <w:p>
      <w:pPr>
        <w:spacing w:after="0" w:line="179" w:lineRule="exact"/>
        <w:rPr>
          <w:rFonts w:ascii="Times New Roman" w:cs="Times New Roman" w:eastAsia="Times New Roman" w:hAnsi="Times New Roman"/>
          <w:sz w:val="22"/>
          <w:szCs w:val="22"/>
          <w:color w:val="auto"/>
        </w:rPr>
      </w:pPr>
    </w:p>
    <w:p>
      <w:pPr>
        <w:ind w:left="5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have executed this Amendment as of the date first set forth above.</w:t>
      </w:r>
    </w:p>
    <w:p>
      <w:pPr>
        <w:sectPr>
          <w:pgSz w:w="11900" w:h="16838" w:orient="portrait"/>
          <w:cols w:equalWidth="0" w:num="1">
            <w:col w:w="9540"/>
          </w:cols>
          <w:pgMar w:left="980" w:top="1440" w:right="1379"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HEALTHEQUITY, INC.</w:t>
      </w: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Delano Ladd</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0" w:lineRule="exact"/>
        <w:rPr>
          <w:sz w:val="20"/>
          <w:szCs w:val="20"/>
          <w:color w:val="auto"/>
        </w:rPr>
      </w:pPr>
    </w:p>
    <w:p>
      <w:pPr>
        <w:spacing w:after="0" w:line="3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Stephen D. Neeleman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to S. Neeleman’s Employment Agreement</w:t>
      </w:r>
      <w:r>
        <w:rPr>
          <w:rFonts w:ascii="Times New Roman" w:cs="Times New Roman" w:eastAsia="Times New Roman" w:hAnsi="Times New Roman"/>
          <w:sz w:val="17"/>
          <w:szCs w:val="17"/>
          <w:color w:val="auto"/>
        </w:rPr>
        <w:t>]</w:t>
      </w:r>
    </w:p>
    <w:p>
      <w:pPr>
        <w:sectPr>
          <w:pgSz w:w="11900" w:h="16838" w:orient="portrait"/>
          <w:cols w:equalWidth="0" w:num="1">
            <w:col w:w="9540"/>
          </w:cols>
          <w:pgMar w:left="980" w:top="1440" w:right="1379" w:bottom="1440" w:gutter="0" w:footer="0" w:header="0"/>
          <w:type w:val="continuous"/>
        </w:sectPr>
      </w:pPr>
    </w:p>
    <w:bookmarkStart w:id="78" w:name="page79"/>
    <w:bookmarkEnd w:id="78"/>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This Amendment No. 1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Employment Agreement (as defined below) is made and entered into as of 5th day of May 2026, by and between HealthEquity,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James M. Lucania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Employment Agreement, entered into as of the 13</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2023,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which governs the terms of Executive’s employment with the Company; and</w:t>
      </w:r>
    </w:p>
    <w:p>
      <w:pPr>
        <w:spacing w:after="0" w:line="19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now desire to amend the Employment Agreement, effective immediately, to more accurately reflect Executive’s annual incentive compensation opportunity.</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receipt and sufficiency of which are mutually acknowledged, the Company and Executive hereby agree as follows:</w:t>
      </w:r>
    </w:p>
    <w:p>
      <w:pPr>
        <w:spacing w:after="0" w:line="186" w:lineRule="exact"/>
        <w:rPr>
          <w:sz w:val="20"/>
          <w:szCs w:val="20"/>
          <w:color w:val="auto"/>
        </w:rPr>
      </w:pPr>
    </w:p>
    <w:p>
      <w:pPr>
        <w:ind w:right="20" w:firstLine="656"/>
        <w:spacing w:after="0" w:line="271"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that are not defined in this Amendment shall have the meanings ascribed thereto in the Employment Agreement.</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Employment Agreement</w:t>
      </w:r>
      <w:r>
        <w:rPr>
          <w:rFonts w:ascii="Times New Roman" w:cs="Times New Roman" w:eastAsia="Times New Roman" w:hAnsi="Times New Roman"/>
          <w:sz w:val="22"/>
          <w:szCs w:val="22"/>
          <w:color w:val="auto"/>
        </w:rPr>
        <w:t>. Section 8(d)(iv) of the Employment Agreement is amended and restated in its entirety to read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 So long as Executive has executed and not revoked the Release of Claims to this Agreement,</w:t>
      </w:r>
    </w:p>
    <w:p>
      <w:pPr>
        <w:spacing w:after="0" w:line="29" w:lineRule="exact"/>
        <w:rPr>
          <w:sz w:val="20"/>
          <w:szCs w:val="20"/>
          <w:color w:val="auto"/>
        </w:rPr>
      </w:pPr>
    </w:p>
    <w:p>
      <w:pPr>
        <w:jc w:val="both"/>
        <w:ind w:left="1300" w:right="1300" w:firstLine="4"/>
        <w:spacing w:after="0" w:line="247" w:lineRule="auto"/>
        <w:tabs>
          <w:tab w:leader="none" w:pos="1558"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termination occurs prior to the consummation of a Change in Control, continued payment of one hundred percent (100%) of Executive’s Base Salary, payable in substantially equal installments during the Severance Term in accordance with the Company’s regular payroll practices, and (ii) if such termination occurs on or following the consummation of a Change in Control, payment of an amount equal to one hundred percent (100%) of the sum of Executive’s Base Salary and target Annual Bonus, payable in a single lump sum on the next regularly scheduled payroll date following the date on which the Release of Claims becomes irrevocable (the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and Confirmation</w:t>
      </w:r>
      <w:r>
        <w:rPr>
          <w:rFonts w:ascii="Times New Roman" w:cs="Times New Roman" w:eastAsia="Times New Roman" w:hAnsi="Times New Roman"/>
          <w:sz w:val="22"/>
          <w:szCs w:val="22"/>
          <w:color w:val="auto"/>
        </w:rPr>
        <w:t>. Except as specifically amended by this Amendment, the Employment Agreement is hereby ratified and confirmed in all respects and remains valid and in full force and effect. Whenever the Employment Agreement is referred to in this Amendment or in any other agreement, document or instrument, such reference shall be</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deemed to be to the Employment Agreement, as amended by this Amendment, whether or not specific reference is made to this Amendment.</w:t>
      </w:r>
    </w:p>
    <w:p>
      <w:pPr>
        <w:spacing w:after="0" w:line="158" w:lineRule="exact"/>
        <w:rPr>
          <w:sz w:val="20"/>
          <w:szCs w:val="20"/>
          <w:color w:val="auto"/>
        </w:rPr>
      </w:pPr>
    </w:p>
    <w:p>
      <w:pPr>
        <w:jc w:val="both"/>
        <w:ind w:firstLine="656"/>
        <w:spacing w:after="0" w:line="263"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Employment Agreement and this Amendment contain the entire understanding and agreement of the parties hereto regarding the employment of Executive and supersede all prior negotiations, discussions, correspondence, communications, understandings and agreements between the parties relating to the subject matter hereof.</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Jurisdiction; Arbitration of Disputes</w:t>
      </w:r>
      <w:r>
        <w:rPr>
          <w:rFonts w:ascii="Times New Roman" w:cs="Times New Roman" w:eastAsia="Times New Roman" w:hAnsi="Times New Roman"/>
          <w:sz w:val="22"/>
          <w:szCs w:val="22"/>
          <w:color w:val="auto"/>
        </w:rPr>
        <w:t>. The provisions of Section 21 of the Employment Agreement (</w:t>
      </w:r>
      <w:r>
        <w:rPr>
          <w:rFonts w:ascii="Times New Roman" w:cs="Times New Roman" w:eastAsia="Times New Roman" w:hAnsi="Times New Roman"/>
          <w:sz w:val="22"/>
          <w:szCs w:val="22"/>
          <w:i w:val="1"/>
          <w:iCs w:val="1"/>
          <w:color w:val="auto"/>
        </w:rPr>
        <w:t>Governing Law and Jurisdiction</w:t>
      </w:r>
      <w:r>
        <w:rPr>
          <w:rFonts w:ascii="Times New Roman" w:cs="Times New Roman" w:eastAsia="Times New Roman" w:hAnsi="Times New Roman"/>
          <w:sz w:val="22"/>
          <w:szCs w:val="22"/>
          <w:color w:val="auto"/>
        </w:rPr>
        <w:t>), and Section 20 (</w:t>
      </w:r>
      <w:r>
        <w:rPr>
          <w:rFonts w:ascii="Times New Roman" w:cs="Times New Roman" w:eastAsia="Times New Roman" w:hAnsi="Times New Roman"/>
          <w:sz w:val="22"/>
          <w:szCs w:val="22"/>
          <w:i w:val="1"/>
          <w:iCs w:val="1"/>
          <w:color w:val="auto"/>
        </w:rPr>
        <w:t>Arbitration of Disputes</w:t>
      </w:r>
      <w:r>
        <w:rPr>
          <w:rFonts w:ascii="Times New Roman" w:cs="Times New Roman" w:eastAsia="Times New Roman" w:hAnsi="Times New Roman"/>
          <w:sz w:val="22"/>
          <w:szCs w:val="22"/>
          <w:color w:val="auto"/>
        </w:rPr>
        <w:t xml:space="preserve">), apply with respect to this Amendment and are incorporated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two (2) or more counterparts, each of which shall be deemed to be an original but all of which together shall constitute one and the same instrument. The execution of this Amendment may be by actual signature or by signature delivered by facsimile or by e-mail as a portable document format (.pdf) file or image file attachment.</w:t>
      </w:r>
    </w:p>
    <w:p>
      <w:pPr>
        <w:spacing w:after="0" w:line="179" w:lineRule="exact"/>
        <w:rPr>
          <w:rFonts w:ascii="Times New Roman" w:cs="Times New Roman" w:eastAsia="Times New Roman" w:hAnsi="Times New Roman"/>
          <w:sz w:val="22"/>
          <w:szCs w:val="22"/>
          <w:color w:val="auto"/>
        </w:rPr>
      </w:pPr>
    </w:p>
    <w:p>
      <w:pPr>
        <w:ind w:left="5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have executed this Amendment as of the date first set forth above.</w:t>
      </w:r>
    </w:p>
    <w:p>
      <w:pPr>
        <w:sectPr>
          <w:pgSz w:w="11900" w:h="16838" w:orient="portrait"/>
          <w:cols w:equalWidth="0" w:num="1">
            <w:col w:w="9540"/>
          </w:cols>
          <w:pgMar w:left="980" w:top="1440" w:right="1379"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HEALTHEQUITY, INC.</w:t>
      </w: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Delano Ladd</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0" w:lineRule="exact"/>
        <w:rPr>
          <w:sz w:val="20"/>
          <w:szCs w:val="20"/>
          <w:color w:val="auto"/>
        </w:rPr>
      </w:pPr>
    </w:p>
    <w:p>
      <w:pPr>
        <w:spacing w:after="0" w:line="3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James M. Lucania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to J. Lucania’s Employment Agreement</w:t>
      </w:r>
      <w:r>
        <w:rPr>
          <w:rFonts w:ascii="Times New Roman" w:cs="Times New Roman" w:eastAsia="Times New Roman" w:hAnsi="Times New Roman"/>
          <w:sz w:val="17"/>
          <w:szCs w:val="17"/>
          <w:color w:val="auto"/>
        </w:rPr>
        <w:t>]</w:t>
      </w:r>
    </w:p>
    <w:p>
      <w:pPr>
        <w:sectPr>
          <w:pgSz w:w="11900" w:h="16838" w:orient="portrait"/>
          <w:cols w:equalWidth="0" w:num="1">
            <w:col w:w="9540"/>
          </w:cols>
          <w:pgMar w:left="980" w:top="1440" w:right="1379" w:bottom="1440" w:gutter="0" w:footer="0" w:header="0"/>
          <w:type w:val="continuous"/>
        </w:sectPr>
      </w:pPr>
    </w:p>
    <w:bookmarkStart w:id="81" w:name="page82"/>
    <w:bookmarkEnd w:id="81"/>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2"/>
          <w:szCs w:val="22"/>
          <w:color w:val="auto"/>
        </w:rPr>
        <w:t>This Amendment No. 1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Employment Agreement (as defined below) is made and entered into as of the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2026, by and between HealthEquity,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Scott R. Cutler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Employment Agreement, entered into as of the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November 2024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which governs the terms of Executive’s employment with the Company; and</w:t>
      </w:r>
    </w:p>
    <w:p>
      <w:pPr>
        <w:spacing w:after="0" w:line="19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now desire to amend the Employment Agreement, effective immediately, to more accurately reflect Executive’s annual incentive compensation opportunity.</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receipt and sufficiency of which are mutually acknowledged, the Company and Executive hereby agree as follows:</w:t>
      </w:r>
    </w:p>
    <w:p>
      <w:pPr>
        <w:spacing w:after="0" w:line="186" w:lineRule="exact"/>
        <w:rPr>
          <w:sz w:val="20"/>
          <w:szCs w:val="20"/>
          <w:color w:val="auto"/>
        </w:rPr>
      </w:pPr>
    </w:p>
    <w:p>
      <w:pPr>
        <w:ind w:right="20" w:firstLine="656"/>
        <w:spacing w:after="0" w:line="271"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that are not defined in this Amendment shall have the meanings ascribed thereto in the Employment Agreement.</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Employment Agreement</w:t>
      </w:r>
      <w:r>
        <w:rPr>
          <w:rFonts w:ascii="Times New Roman" w:cs="Times New Roman" w:eastAsia="Times New Roman" w:hAnsi="Times New Roman"/>
          <w:sz w:val="22"/>
          <w:szCs w:val="22"/>
          <w:color w:val="auto"/>
        </w:rPr>
        <w:t>. Section 8(d)(iv) of the Employment Agreement is amended and restated in its entirety to read as follows:</w:t>
      </w:r>
    </w:p>
    <w:p>
      <w:pPr>
        <w:spacing w:after="0" w:line="158" w:lineRule="exact"/>
        <w:rPr>
          <w:sz w:val="20"/>
          <w:szCs w:val="20"/>
          <w:color w:val="auto"/>
        </w:rPr>
      </w:pPr>
    </w:p>
    <w:p>
      <w:pPr>
        <w:jc w:val="both"/>
        <w:ind w:left="1300" w:right="1300"/>
        <w:spacing w:after="0" w:line="250" w:lineRule="auto"/>
        <w:rPr>
          <w:sz w:val="20"/>
          <w:szCs w:val="20"/>
          <w:color w:val="auto"/>
        </w:rPr>
      </w:pPr>
      <w:r>
        <w:rPr>
          <w:rFonts w:ascii="Times New Roman" w:cs="Times New Roman" w:eastAsia="Times New Roman" w:hAnsi="Times New Roman"/>
          <w:sz w:val="22"/>
          <w:szCs w:val="22"/>
          <w:color w:val="auto"/>
        </w:rPr>
        <w:t>“(iv) if such termination occurs prior to the consummation of a Change in Control, continued payment of one hundred percent (100%) of Executive’s Base Salary and target Annual Bonus, payable in substantially equal installments during the Severance Term in accordance with the Company’s regular payroll practices, and (ii) if such termination occurs on or following the consummation of a Change in Control, payment of an amount equal to one hundred fifty percent (150%) of the sum of Executive’s Base Salary and target Annual Bonus, payable in a single lump sum on the next regularly scheduled payroll date following the date on which the Release of Claims becomes irrevocable;”</w:t>
      </w:r>
    </w:p>
    <w:p>
      <w:pPr>
        <w:spacing w:after="0" w:line="187" w:lineRule="exact"/>
        <w:rPr>
          <w:sz w:val="20"/>
          <w:szCs w:val="20"/>
          <w:color w:val="auto"/>
        </w:rPr>
      </w:pPr>
    </w:p>
    <w:p>
      <w:pPr>
        <w:jc w:val="both"/>
        <w:ind w:firstLine="656"/>
        <w:spacing w:after="0" w:line="253"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and Confirmation</w:t>
      </w:r>
      <w:r>
        <w:rPr>
          <w:rFonts w:ascii="Times New Roman" w:cs="Times New Roman" w:eastAsia="Times New Roman" w:hAnsi="Times New Roman"/>
          <w:sz w:val="22"/>
          <w:szCs w:val="22"/>
          <w:color w:val="auto"/>
        </w:rPr>
        <w:t>. Except as specifically amended by this Amendment, the Employment Agreement is hereby ratified and confirmed in all respects and remains valid and in full force and effect. Whenever the Employment Agreement is referred to in this Amendment or in any other agreement, document or instrument, such reference shall be deemed to be to the Employment Agreement, as amended by this Amendment, whether or not specific reference is made to this Amendment.</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98" w:lineRule="exact"/>
        <w:rPr>
          <w:sz w:val="20"/>
          <w:szCs w:val="20"/>
          <w:color w:val="auto"/>
        </w:rPr>
      </w:pPr>
    </w:p>
    <w:p>
      <w:pPr>
        <w:jc w:val="both"/>
        <w:ind w:firstLine="656"/>
        <w:spacing w:after="0" w:line="257"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Employment Agreement and this Amendment contain the entire understanding and agreement of the parties hereto regarding the employment of Executive and supersede all prior negotiations, discussions, correspondence, communications, understandings and agreements between the parties relating to the subject matter hereof.</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Jurisdiction; Arbitration of Disputes</w:t>
      </w:r>
      <w:r>
        <w:rPr>
          <w:rFonts w:ascii="Times New Roman" w:cs="Times New Roman" w:eastAsia="Times New Roman" w:hAnsi="Times New Roman"/>
          <w:sz w:val="22"/>
          <w:szCs w:val="22"/>
          <w:color w:val="auto"/>
        </w:rPr>
        <w:t>. The provisions of Section 21 of the Employment Agreement (</w:t>
      </w:r>
      <w:r>
        <w:rPr>
          <w:rFonts w:ascii="Times New Roman" w:cs="Times New Roman" w:eastAsia="Times New Roman" w:hAnsi="Times New Roman"/>
          <w:sz w:val="22"/>
          <w:szCs w:val="22"/>
          <w:i w:val="1"/>
          <w:iCs w:val="1"/>
          <w:color w:val="auto"/>
        </w:rPr>
        <w:t>Governing Law and Jurisdiction</w:t>
      </w:r>
      <w:r>
        <w:rPr>
          <w:rFonts w:ascii="Times New Roman" w:cs="Times New Roman" w:eastAsia="Times New Roman" w:hAnsi="Times New Roman"/>
          <w:sz w:val="22"/>
          <w:szCs w:val="22"/>
          <w:color w:val="auto"/>
        </w:rPr>
        <w:t>) and Section 20 (</w:t>
      </w:r>
      <w:r>
        <w:rPr>
          <w:rFonts w:ascii="Times New Roman" w:cs="Times New Roman" w:eastAsia="Times New Roman" w:hAnsi="Times New Roman"/>
          <w:sz w:val="22"/>
          <w:szCs w:val="22"/>
          <w:i w:val="1"/>
          <w:iCs w:val="1"/>
          <w:color w:val="auto"/>
        </w:rPr>
        <w:t>Arbitration of Disputes</w:t>
      </w:r>
      <w:r>
        <w:rPr>
          <w:rFonts w:ascii="Times New Roman" w:cs="Times New Roman" w:eastAsia="Times New Roman" w:hAnsi="Times New Roman"/>
          <w:sz w:val="22"/>
          <w:szCs w:val="22"/>
          <w:color w:val="auto"/>
        </w:rPr>
        <w:t xml:space="preserve">) apply with respect to this Amendment and are incorporated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two (2) or more counterparts, each of which shall be deemed to be an original but all of which together shall constitute one and the same instrument. The execution of this Amendment may be by actual signature or by signature delivered by facsimile or by e-mail as a portable document format (.pdf) file or image file attachment.</w:t>
      </w:r>
    </w:p>
    <w:p>
      <w:pPr>
        <w:spacing w:after="0" w:line="176" w:lineRule="exact"/>
        <w:rPr>
          <w:rFonts w:ascii="Times New Roman" w:cs="Times New Roman" w:eastAsia="Times New Roman" w:hAnsi="Times New Roman"/>
          <w:sz w:val="22"/>
          <w:szCs w:val="22"/>
          <w:color w:val="auto"/>
        </w:rPr>
      </w:pPr>
    </w:p>
    <w:p>
      <w:pPr>
        <w:ind w:left="5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136869857.v1</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have executed this Amendment as of the date first set forth above.</w:t>
      </w:r>
    </w:p>
    <w:p>
      <w:pPr>
        <w:sectPr>
          <w:pgSz w:w="11900" w:h="16838" w:orient="portrait"/>
          <w:cols w:equalWidth="0" w:num="1">
            <w:col w:w="9540"/>
          </w:cols>
          <w:pgMar w:left="980" w:top="1440" w:right="1379"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HEALTHEQUITY, INC.</w:t>
      </w: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Delano Ladd</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0" w:lineRule="exact"/>
        <w:rPr>
          <w:sz w:val="20"/>
          <w:szCs w:val="20"/>
          <w:color w:val="auto"/>
        </w:rPr>
      </w:pPr>
    </w:p>
    <w:p>
      <w:pPr>
        <w:spacing w:after="0" w:line="3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Scott R. Cutler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to S. Cutler’s Employment Agreement</w:t>
      </w:r>
      <w:r>
        <w:rPr>
          <w:rFonts w:ascii="Times New Roman" w:cs="Times New Roman" w:eastAsia="Times New Roman" w:hAnsi="Times New Roman"/>
          <w:sz w:val="17"/>
          <w:szCs w:val="17"/>
          <w:color w:val="auto"/>
        </w:rPr>
        <w:t>]</w:t>
      </w:r>
    </w:p>
    <w:p>
      <w:pPr>
        <w:sectPr>
          <w:pgSz w:w="11900" w:h="16838" w:orient="portrait"/>
          <w:cols w:equalWidth="0" w:num="1">
            <w:col w:w="9540"/>
          </w:cols>
          <w:pgMar w:left="980" w:top="1440" w:right="1379" w:bottom="1440" w:gutter="0" w:footer="0" w:header="0"/>
          <w:type w:val="continuous"/>
        </w:sectPr>
      </w:pPr>
    </w:p>
    <w:bookmarkStart w:id="84" w:name="page85"/>
    <w:bookmarkEnd w:id="84"/>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This Amendment No. 1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Employment Agreement (as defined below) is made and entered into as of 5th day of May 2026, by and between HealthEquity,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Michael H. Fiore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1296"/>
        <w:spacing w:after="0" w:line="234"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Employment Agreement, entered into as of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January 2024,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which governs the terms of Executive’s employment with the Company; and</w:t>
      </w:r>
    </w:p>
    <w:p>
      <w:pPr>
        <w:spacing w:after="0" w:line="19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now desire to amend the Employment Agreement, effective immediately, to more accurately reflect Executive’s annual incentive compensation opportunity.</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receipt and sufficiency of which are mutually acknowledged, the Company and Executive hereby agree as follows:</w:t>
      </w:r>
    </w:p>
    <w:p>
      <w:pPr>
        <w:spacing w:after="0" w:line="186" w:lineRule="exact"/>
        <w:rPr>
          <w:sz w:val="20"/>
          <w:szCs w:val="20"/>
          <w:color w:val="auto"/>
        </w:rPr>
      </w:pPr>
    </w:p>
    <w:p>
      <w:pPr>
        <w:ind w:right="20" w:firstLine="656"/>
        <w:spacing w:after="0" w:line="271" w:lineRule="auto"/>
        <w:tabs>
          <w:tab w:leader="none" w:pos="1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that are not defined in this Amendment shall have the meanings ascribed thereto in the Employment Agreement.</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Employment Agreement</w:t>
      </w:r>
      <w:r>
        <w:rPr>
          <w:rFonts w:ascii="Times New Roman" w:cs="Times New Roman" w:eastAsia="Times New Roman" w:hAnsi="Times New Roman"/>
          <w:sz w:val="22"/>
          <w:szCs w:val="22"/>
          <w:color w:val="auto"/>
        </w:rPr>
        <w:t>. Section 8(d)(iv) of the Employment Agreement is amended and restated in its entirety to read as follows:</w:t>
      </w:r>
    </w:p>
    <w:p>
      <w:pPr>
        <w:spacing w:after="0" w:line="158" w:lineRule="exact"/>
        <w:rPr>
          <w:sz w:val="20"/>
          <w:szCs w:val="20"/>
          <w:color w:val="auto"/>
        </w:rPr>
      </w:pPr>
    </w:p>
    <w:p>
      <w:pPr>
        <w:jc w:val="both"/>
        <w:ind w:left="1300" w:right="1300"/>
        <w:spacing w:after="0" w:line="263" w:lineRule="auto"/>
        <w:rPr>
          <w:sz w:val="20"/>
          <w:szCs w:val="20"/>
          <w:color w:val="auto"/>
        </w:rPr>
      </w:pPr>
      <w:r>
        <w:rPr>
          <w:rFonts w:ascii="Times New Roman" w:cs="Times New Roman" w:eastAsia="Times New Roman" w:hAnsi="Times New Roman"/>
          <w:sz w:val="21"/>
          <w:szCs w:val="21"/>
          <w:color w:val="auto"/>
        </w:rPr>
        <w:t>“(iv) So long as Executive has executed and not revoked the Release of Claims to this Agreement, and Executive continues to abide by the terms of the CIAA, (i) if such termination occurs prior to the consummation of a Change in Control, continued payment of one hundred percent (100%) of Executive’s Base Salary, payable in substantially equal installments during the Severance Term in accordance with the Company’s regular payroll practices, and (ii) if such termination occurs on or following the consummation of a Change in Control, payment of an amount equal to one hundred percent (100%) of the sum of Executive’s Base Salary and target Annual Bonus, payable in a single lump sum on the next regularly scheduled payroll date following the date on which the Release of Claims becomes irrevocable (the “</w:t>
      </w:r>
      <w:r>
        <w:rPr>
          <w:rFonts w:ascii="Times New Roman" w:cs="Times New Roman" w:eastAsia="Times New Roman" w:hAnsi="Times New Roman"/>
          <w:sz w:val="21"/>
          <w:szCs w:val="21"/>
          <w:u w:val="single" w:color="auto"/>
          <w:color w:val="auto"/>
        </w:rPr>
        <w:t>Severance Payment</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656"/>
        <w:spacing w:after="0" w:line="257"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and Confirmation</w:t>
      </w:r>
      <w:r>
        <w:rPr>
          <w:rFonts w:ascii="Times New Roman" w:cs="Times New Roman" w:eastAsia="Times New Roman" w:hAnsi="Times New Roman"/>
          <w:sz w:val="22"/>
          <w:szCs w:val="22"/>
          <w:color w:val="auto"/>
        </w:rPr>
        <w:t>. Except as specifically amended by this Amendment, the Employment Agreement is hereby ratified and confirmed in all respects and remains valid and in full force and effect. Whenever the Employment Agreement is referred to in this Amendment or in any other agreement, document or instrument, such reference shall be</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deemed to be to the Employment Agreement, as amended by this Amendment, whether or not specific reference is made to this Amendment.</w:t>
      </w:r>
    </w:p>
    <w:p>
      <w:pPr>
        <w:spacing w:after="0" w:line="158" w:lineRule="exact"/>
        <w:rPr>
          <w:sz w:val="20"/>
          <w:szCs w:val="20"/>
          <w:color w:val="auto"/>
        </w:rPr>
      </w:pPr>
    </w:p>
    <w:p>
      <w:pPr>
        <w:jc w:val="both"/>
        <w:ind w:firstLine="656"/>
        <w:spacing w:after="0" w:line="263"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Employment Agreement and this Amendment contain the entire understanding and agreement of the parties hereto regarding the employment of Executive and supersede all prior negotiations, discussions, correspondence, communications, understandings and agreements between the parties relating to the subject matter hereof.</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Jurisdiction; Arbitration of Disputes</w:t>
      </w:r>
      <w:r>
        <w:rPr>
          <w:rFonts w:ascii="Times New Roman" w:cs="Times New Roman" w:eastAsia="Times New Roman" w:hAnsi="Times New Roman"/>
          <w:sz w:val="22"/>
          <w:szCs w:val="22"/>
          <w:color w:val="auto"/>
        </w:rPr>
        <w:t>. The provisions of Section 21 of the Employment Agreement (</w:t>
      </w:r>
      <w:r>
        <w:rPr>
          <w:rFonts w:ascii="Times New Roman" w:cs="Times New Roman" w:eastAsia="Times New Roman" w:hAnsi="Times New Roman"/>
          <w:sz w:val="22"/>
          <w:szCs w:val="22"/>
          <w:i w:val="1"/>
          <w:iCs w:val="1"/>
          <w:color w:val="auto"/>
        </w:rPr>
        <w:t>Governing Law and Jurisdiction</w:t>
      </w:r>
      <w:r>
        <w:rPr>
          <w:rFonts w:ascii="Times New Roman" w:cs="Times New Roman" w:eastAsia="Times New Roman" w:hAnsi="Times New Roman"/>
          <w:sz w:val="22"/>
          <w:szCs w:val="22"/>
          <w:color w:val="auto"/>
        </w:rPr>
        <w:t>), and Section 20 (</w:t>
      </w:r>
      <w:r>
        <w:rPr>
          <w:rFonts w:ascii="Times New Roman" w:cs="Times New Roman" w:eastAsia="Times New Roman" w:hAnsi="Times New Roman"/>
          <w:sz w:val="22"/>
          <w:szCs w:val="22"/>
          <w:i w:val="1"/>
          <w:iCs w:val="1"/>
          <w:color w:val="auto"/>
        </w:rPr>
        <w:t>Arbitration of Disputes</w:t>
      </w:r>
      <w:r>
        <w:rPr>
          <w:rFonts w:ascii="Times New Roman" w:cs="Times New Roman" w:eastAsia="Times New Roman" w:hAnsi="Times New Roman"/>
          <w:sz w:val="22"/>
          <w:szCs w:val="22"/>
          <w:color w:val="auto"/>
        </w:rPr>
        <w:t xml:space="preserve">), apply with respect to this Amendment and are incorporated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two (2) or more counterparts, each of which shall be deemed to be an original but all of which together shall constitute one and the same instrument. The execution of this Amendment may be by actual signature or by signature delivered by facsimile or by e-mail as a portable document format (.pdf) file or image file attachment.</w:t>
      </w:r>
    </w:p>
    <w:p>
      <w:pPr>
        <w:spacing w:after="0" w:line="179" w:lineRule="exact"/>
        <w:rPr>
          <w:rFonts w:ascii="Times New Roman" w:cs="Times New Roman" w:eastAsia="Times New Roman" w:hAnsi="Times New Roman"/>
          <w:sz w:val="22"/>
          <w:szCs w:val="22"/>
          <w:color w:val="auto"/>
        </w:rPr>
      </w:pPr>
    </w:p>
    <w:p>
      <w:pPr>
        <w:ind w:left="5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have executed this Amendment as of the date first set forth above.</w:t>
      </w:r>
    </w:p>
    <w:p>
      <w:pPr>
        <w:sectPr>
          <w:pgSz w:w="11900" w:h="16838" w:orient="portrait"/>
          <w:cols w:equalWidth="0" w:num="1">
            <w:col w:w="9540"/>
          </w:cols>
          <w:pgMar w:left="980" w:top="1440" w:right="1379"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HEALTHEQUITY, INC.</w:t>
      </w: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Delano Ladd</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0" w:lineRule="exact"/>
        <w:rPr>
          <w:sz w:val="20"/>
          <w:szCs w:val="20"/>
          <w:color w:val="auto"/>
        </w:rPr>
      </w:pPr>
    </w:p>
    <w:p>
      <w:pPr>
        <w:spacing w:after="0" w:line="3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Michael H. Fiore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to M. Fiore’s Employment Agreement</w:t>
      </w:r>
      <w:r>
        <w:rPr>
          <w:rFonts w:ascii="Times New Roman" w:cs="Times New Roman" w:eastAsia="Times New Roman" w:hAnsi="Times New Roman"/>
          <w:sz w:val="17"/>
          <w:szCs w:val="17"/>
          <w:color w:val="auto"/>
        </w:rPr>
        <w:t>]</w:t>
      </w:r>
    </w:p>
    <w:p>
      <w:pPr>
        <w:sectPr>
          <w:pgSz w:w="11900" w:h="16838" w:orient="portrait"/>
          <w:cols w:equalWidth="0" w:num="1">
            <w:col w:w="9540"/>
          </w:cols>
          <w:pgMar w:left="980" w:top="1440" w:right="1379" w:bottom="1440" w:gutter="0" w:footer="0" w:header="0"/>
          <w:type w:val="continuous"/>
        </w:sectPr>
      </w:pPr>
    </w:p>
    <w:bookmarkStart w:id="87" w:name="page88"/>
    <w:bookmarkEnd w:id="87"/>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This Amendment No. 1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Employment Agreement (as defined below) is made and entered into as of 5th day of May 2026, by and between HealthEquity,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Delano W. Ladd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Employment Agreement, entered into as of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day of February 2016,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which governs the terms of Executive’s employment with the Company; and</w:t>
      </w:r>
    </w:p>
    <w:p>
      <w:pPr>
        <w:spacing w:after="0" w:line="19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now desire to amend the Employment Agreement, effective immediately, to more accurately reflect Executive’s annual incentive compensation opportunity.</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receipt and sufficiency of which are mutually acknowledged, the Company and Executive hereby agree as follows:</w:t>
      </w:r>
    </w:p>
    <w:p>
      <w:pPr>
        <w:spacing w:after="0" w:line="186" w:lineRule="exact"/>
        <w:rPr>
          <w:sz w:val="20"/>
          <w:szCs w:val="20"/>
          <w:color w:val="auto"/>
        </w:rPr>
      </w:pPr>
    </w:p>
    <w:p>
      <w:pPr>
        <w:ind w:right="20" w:firstLine="656"/>
        <w:spacing w:after="0" w:line="271"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that are not defined in this Amendment shall have the meanings ascribed thereto in the Employment Agreement.</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Employment Agreement</w:t>
      </w:r>
      <w:r>
        <w:rPr>
          <w:rFonts w:ascii="Times New Roman" w:cs="Times New Roman" w:eastAsia="Times New Roman" w:hAnsi="Times New Roman"/>
          <w:sz w:val="22"/>
          <w:szCs w:val="22"/>
          <w:color w:val="auto"/>
        </w:rPr>
        <w:t>. Section 7(d)(iv) of the Employment Agreement is amended and restated in its entirety to read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 So long as Executive has executed and not revoked the Release of Claims to this Agreement,</w:t>
      </w:r>
    </w:p>
    <w:p>
      <w:pPr>
        <w:spacing w:after="0" w:line="29" w:lineRule="exact"/>
        <w:rPr>
          <w:sz w:val="20"/>
          <w:szCs w:val="20"/>
          <w:color w:val="auto"/>
        </w:rPr>
      </w:pPr>
    </w:p>
    <w:p>
      <w:pPr>
        <w:jc w:val="both"/>
        <w:ind w:left="1300" w:right="1300" w:firstLine="4"/>
        <w:spacing w:after="0" w:line="247" w:lineRule="auto"/>
        <w:tabs>
          <w:tab w:leader="none" w:pos="155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termination occurs prior to the consummation of a Change in Control, continued payment of one hundred percent (100%) of Executive’s Base Salary, payable in substantially equal installments during the Severance Term in accordance with the Company’s regular payroll practices, and (ii) if such termination occurs on or following the consummation of a Change in Control, payment of an amount equal to one hundred percent (100%) of the sum of Executive’s Base Salary and target Annual Bonus, payable in a single lump sum on the next regularly scheduled payroll date following the date on which the Release of Claims becomes irrevocable (the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and Confirmation</w:t>
      </w:r>
      <w:r>
        <w:rPr>
          <w:rFonts w:ascii="Times New Roman" w:cs="Times New Roman" w:eastAsia="Times New Roman" w:hAnsi="Times New Roman"/>
          <w:sz w:val="22"/>
          <w:szCs w:val="22"/>
          <w:color w:val="auto"/>
        </w:rPr>
        <w:t>. Except as specifically amended by this Amendment, the Employment Agreement is hereby ratified and confirmed in all respects and remains valid and in full force and effect. Whenever the Employment Agreement is referred to in this Amendment or in any other agreement, document or instrument, such reference shall be</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deemed to be to the Employment Agreement, as amended by this Amendment, whether or not specific reference is made to this Amendment.</w:t>
      </w:r>
    </w:p>
    <w:p>
      <w:pPr>
        <w:spacing w:after="0" w:line="158" w:lineRule="exact"/>
        <w:rPr>
          <w:sz w:val="20"/>
          <w:szCs w:val="20"/>
          <w:color w:val="auto"/>
        </w:rPr>
      </w:pPr>
    </w:p>
    <w:p>
      <w:pPr>
        <w:jc w:val="both"/>
        <w:ind w:firstLine="656"/>
        <w:spacing w:after="0" w:line="263"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Employment Agreement and this Amendment contain the entire understanding and agreement of the parties hereto regarding the employment of Executive and supersede all prior negotiations, discussions, correspondence, communications, understandings and agreements between the parties relating to the subject matter hereof.</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Jurisdiction; Arbitration of Disputes</w:t>
      </w:r>
      <w:r>
        <w:rPr>
          <w:rFonts w:ascii="Times New Roman" w:cs="Times New Roman" w:eastAsia="Times New Roman" w:hAnsi="Times New Roman"/>
          <w:sz w:val="22"/>
          <w:szCs w:val="22"/>
          <w:color w:val="auto"/>
        </w:rPr>
        <w:t>. The provisions of Section 19 of the Employment Agreement (</w:t>
      </w:r>
      <w:r>
        <w:rPr>
          <w:rFonts w:ascii="Times New Roman" w:cs="Times New Roman" w:eastAsia="Times New Roman" w:hAnsi="Times New Roman"/>
          <w:sz w:val="22"/>
          <w:szCs w:val="22"/>
          <w:i w:val="1"/>
          <w:iCs w:val="1"/>
          <w:color w:val="auto"/>
        </w:rPr>
        <w:t>Governing Law and Jurisdiction</w:t>
      </w:r>
      <w:r>
        <w:rPr>
          <w:rFonts w:ascii="Times New Roman" w:cs="Times New Roman" w:eastAsia="Times New Roman" w:hAnsi="Times New Roman"/>
          <w:sz w:val="22"/>
          <w:szCs w:val="22"/>
          <w:color w:val="auto"/>
        </w:rPr>
        <w:t xml:space="preserve">) apply with respect to this Amendment and are incorporated herein,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two (2) or more counterparts, each of which shall be deemed to be an original but all of which together shall constitute one and the same instrument. The execution of this Amendment may be by actual signature or by signature delivered by facsimile or by e-mail as a portable document format (.pdf) file or image file attachment.</w:t>
      </w:r>
    </w:p>
    <w:p>
      <w:pPr>
        <w:spacing w:after="0" w:line="179" w:lineRule="exact"/>
        <w:rPr>
          <w:rFonts w:ascii="Times New Roman" w:cs="Times New Roman" w:eastAsia="Times New Roman" w:hAnsi="Times New Roman"/>
          <w:sz w:val="22"/>
          <w:szCs w:val="22"/>
          <w:color w:val="auto"/>
        </w:rPr>
      </w:pPr>
    </w:p>
    <w:p>
      <w:pPr>
        <w:ind w:left="5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have executed this Amendment as of the date first set forth above.</w:t>
      </w:r>
    </w:p>
    <w:p>
      <w:pPr>
        <w:sectPr>
          <w:pgSz w:w="11900" w:h="16838" w:orient="portrait"/>
          <w:cols w:equalWidth="0" w:num="1">
            <w:col w:w="9540"/>
          </w:cols>
          <w:pgMar w:left="980" w:top="1440" w:right="1379"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HEALTHEQUITY, INC.</w:t>
      </w: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Scott Cutler</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3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Delano W. Ladd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to D. Ladd’s Employment Agreement</w:t>
      </w:r>
      <w:r>
        <w:rPr>
          <w:rFonts w:ascii="Times New Roman" w:cs="Times New Roman" w:eastAsia="Times New Roman" w:hAnsi="Times New Roman"/>
          <w:sz w:val="17"/>
          <w:szCs w:val="17"/>
          <w:color w:val="auto"/>
        </w:rPr>
        <w:t>]</w:t>
      </w:r>
    </w:p>
    <w:p>
      <w:pPr>
        <w:sectPr>
          <w:pgSz w:w="11900" w:h="16838" w:orient="portrait"/>
          <w:cols w:equalWidth="0" w:num="1">
            <w:col w:w="9540"/>
          </w:cols>
          <w:pgMar w:left="980" w:top="1440" w:right="137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19"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 Scott Cutler, certify that:</w:t>
      </w:r>
    </w:p>
    <w:p>
      <w:pPr>
        <w:spacing w:after="0" w:line="181" w:lineRule="exact"/>
        <w:rPr>
          <w:sz w:val="20"/>
          <w:szCs w:val="20"/>
          <w:color w:val="auto"/>
        </w:rPr>
      </w:pPr>
    </w:p>
    <w:p>
      <w:pPr>
        <w:ind w:left="420" w:hanging="412"/>
        <w:spacing w:after="0"/>
        <w:tabs>
          <w:tab w:leader="none" w:pos="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HealthEquity, Inc.;</w:t>
      </w:r>
    </w:p>
    <w:p>
      <w:pPr>
        <w:spacing w:after="0" w:line="167" w:lineRule="exact"/>
        <w:rPr>
          <w:rFonts w:ascii="Arial" w:cs="Arial" w:eastAsia="Arial" w:hAnsi="Arial"/>
          <w:sz w:val="16"/>
          <w:szCs w:val="16"/>
          <w:color w:val="auto"/>
        </w:rPr>
      </w:pPr>
    </w:p>
    <w:p>
      <w:pPr>
        <w:jc w:val="both"/>
        <w:ind w:left="420" w:right="360" w:hanging="412"/>
        <w:spacing w:after="0" w:line="275" w:lineRule="auto"/>
        <w:tabs>
          <w:tab w:leader="none" w:pos="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420" w:right="480" w:hanging="412"/>
        <w:spacing w:after="0" w:line="304" w:lineRule="auto"/>
        <w:tabs>
          <w:tab w:leader="none" w:pos="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ind w:left="420" w:right="100" w:hanging="412"/>
        <w:spacing w:after="0" w:line="275" w:lineRule="auto"/>
        <w:tabs>
          <w:tab w:leader="none" w:pos="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jc w:val="both"/>
        <w:ind w:left="1060" w:hanging="404"/>
        <w:spacing w:after="0" w:line="275" w:lineRule="auto"/>
        <w:tabs>
          <w:tab w:leader="none" w:pos="10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60" w:right="400" w:hanging="404"/>
        <w:spacing w:after="0" w:line="275" w:lineRule="auto"/>
        <w:tabs>
          <w:tab w:leader="none" w:pos="10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6"/>
          <w:szCs w:val="16"/>
          <w:color w:val="auto"/>
        </w:rPr>
      </w:pPr>
    </w:p>
    <w:p>
      <w:pPr>
        <w:jc w:val="both"/>
        <w:ind w:left="1060" w:right="420" w:hanging="404"/>
        <w:spacing w:after="0" w:line="286" w:lineRule="auto"/>
        <w:tabs>
          <w:tab w:leader="none" w:pos="1051"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ind w:left="1060" w:right="100" w:hanging="404"/>
        <w:spacing w:after="0" w:line="275" w:lineRule="auto"/>
        <w:tabs>
          <w:tab w:leader="none" w:pos="10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420" w:right="240" w:hanging="412"/>
        <w:spacing w:after="0" w:line="286" w:lineRule="auto"/>
        <w:tabs>
          <w:tab w:leader="none" w:pos="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left="1060" w:right="40" w:hanging="404"/>
        <w:spacing w:after="0" w:line="304" w:lineRule="auto"/>
        <w:tabs>
          <w:tab w:leader="none" w:pos="10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1060" w:right="520" w:hanging="404"/>
        <w:spacing w:after="0" w:line="304" w:lineRule="auto"/>
        <w:tabs>
          <w:tab w:leader="none" w:pos="10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Date: May 28, 2026</w:t>
      </w:r>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By:</w:t>
            </w:r>
          </w:p>
        </w:tc>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Cutler</w:t>
            </w:r>
          </w:p>
        </w:tc>
      </w:tr>
      <w:tr>
        <w:trPr>
          <w:trHeight w:val="210"/>
        </w:trPr>
        <w:tc>
          <w:tcPr>
            <w:tcW w:w="860" w:type="dxa"/>
            <w:vAlign w:val="bottom"/>
          </w:tcPr>
          <w:p>
            <w:pPr>
              <w:spacing w:after="0"/>
              <w:rPr>
                <w:sz w:val="20"/>
                <w:szCs w:val="20"/>
                <w:color w:val="auto"/>
              </w:rPr>
            </w:pPr>
            <w:r>
              <w:rPr>
                <w:rFonts w:ascii="Arial" w:cs="Arial" w:eastAsia="Arial" w:hAnsi="Arial"/>
                <w:sz w:val="16"/>
                <w:szCs w:val="16"/>
                <w:color w:val="auto"/>
              </w:rPr>
              <w:t>Name:</w:t>
            </w:r>
          </w:p>
        </w:tc>
        <w:tc>
          <w:tcPr>
            <w:tcW w:w="2780" w:type="dxa"/>
            <w:vAlign w:val="bottom"/>
          </w:tcPr>
          <w:p>
            <w:pPr>
              <w:ind w:left="20"/>
              <w:spacing w:after="0"/>
              <w:rPr>
                <w:sz w:val="20"/>
                <w:szCs w:val="20"/>
                <w:color w:val="auto"/>
              </w:rPr>
            </w:pPr>
            <w:r>
              <w:rPr>
                <w:rFonts w:ascii="Arial" w:cs="Arial" w:eastAsia="Arial" w:hAnsi="Arial"/>
                <w:sz w:val="16"/>
                <w:szCs w:val="16"/>
                <w:color w:val="auto"/>
              </w:rPr>
              <w:t>Scott Cutler</w:t>
            </w:r>
          </w:p>
        </w:tc>
      </w:tr>
      <w:tr>
        <w:trPr>
          <w:trHeight w:val="165"/>
        </w:trPr>
        <w:tc>
          <w:tcPr>
            <w:tcW w:w="860" w:type="dxa"/>
            <w:vAlign w:val="bottom"/>
          </w:tcPr>
          <w:p>
            <w:pPr>
              <w:spacing w:after="0" w:line="165" w:lineRule="exact"/>
              <w:rPr>
                <w:sz w:val="20"/>
                <w:szCs w:val="20"/>
                <w:color w:val="auto"/>
              </w:rPr>
            </w:pPr>
            <w:r>
              <w:rPr>
                <w:rFonts w:ascii="Arial" w:cs="Arial" w:eastAsia="Arial" w:hAnsi="Arial"/>
                <w:sz w:val="16"/>
                <w:szCs w:val="16"/>
                <w:color w:val="auto"/>
              </w:rPr>
              <w:t>Title:</w:t>
            </w:r>
          </w:p>
        </w:tc>
        <w:tc>
          <w:tcPr>
            <w:tcW w:w="2780" w:type="dxa"/>
            <w:vAlign w:val="bottom"/>
          </w:tcPr>
          <w:p>
            <w:pPr>
              <w:ind w:left="20"/>
              <w:spacing w:after="0" w:line="165" w:lineRule="exact"/>
              <w:rPr>
                <w:sz w:val="20"/>
                <w:szCs w:val="20"/>
                <w:color w:val="auto"/>
              </w:rPr>
            </w:pPr>
            <w:r>
              <w:rPr>
                <w:rFonts w:ascii="Arial" w:cs="Arial" w:eastAsia="Arial" w:hAnsi="Arial"/>
                <w:sz w:val="16"/>
                <w:szCs w:val="16"/>
                <w:i w:val="1"/>
                <w:iCs w:val="1"/>
                <w:color w:val="auto"/>
              </w:rPr>
              <w:t>Chief Executive Officer</w:t>
            </w:r>
          </w:p>
        </w:tc>
      </w:tr>
      <w:tr>
        <w:trPr>
          <w:trHeight w:val="213"/>
        </w:trPr>
        <w:tc>
          <w:tcPr>
            <w:tcW w:w="86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r>
    </w:tbl>
    <w:p>
      <w:pPr>
        <w:sectPr>
          <w:pgSz w:w="11900" w:h="16838" w:orient="portrait"/>
          <w:cols w:equalWidth="0" w:num="1">
            <w:col w:w="11240"/>
          </w:cols>
          <w:pgMar w:left="320" w:top="89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19"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 James Lucania, certify that:</w:t>
      </w:r>
    </w:p>
    <w:p>
      <w:pPr>
        <w:spacing w:after="0" w:line="181"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HealthEquity, Inc.;</w:t>
      </w:r>
    </w:p>
    <w:p>
      <w:pPr>
        <w:spacing w:after="0" w:line="167" w:lineRule="exact"/>
        <w:rPr>
          <w:rFonts w:ascii="Arial" w:cs="Arial" w:eastAsia="Arial" w:hAnsi="Arial"/>
          <w:sz w:val="16"/>
          <w:szCs w:val="16"/>
          <w:color w:val="auto"/>
        </w:rPr>
      </w:pPr>
    </w:p>
    <w:p>
      <w:pPr>
        <w:jc w:val="both"/>
        <w:ind w:left="420" w:right="360" w:hanging="412"/>
        <w:spacing w:after="0" w:line="275"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420" w:right="480" w:hanging="412"/>
        <w:spacing w:after="0" w:line="304"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ind w:left="420" w:right="100" w:hanging="412"/>
        <w:spacing w:after="0" w:line="275"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jc w:val="both"/>
        <w:ind w:left="1060" w:hanging="404"/>
        <w:spacing w:after="0" w:line="275" w:lineRule="auto"/>
        <w:tabs>
          <w:tab w:leader="none" w:pos="10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60" w:right="400" w:hanging="404"/>
        <w:spacing w:after="0" w:line="275" w:lineRule="auto"/>
        <w:tabs>
          <w:tab w:leader="none" w:pos="10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6"/>
          <w:szCs w:val="16"/>
          <w:color w:val="auto"/>
        </w:rPr>
      </w:pPr>
    </w:p>
    <w:p>
      <w:pPr>
        <w:jc w:val="both"/>
        <w:ind w:left="1060" w:right="420" w:hanging="404"/>
        <w:spacing w:after="0" w:line="286" w:lineRule="auto"/>
        <w:tabs>
          <w:tab w:leader="none" w:pos="1051"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ind w:left="1060" w:right="100" w:hanging="404"/>
        <w:spacing w:after="0" w:line="275" w:lineRule="auto"/>
        <w:tabs>
          <w:tab w:leader="none" w:pos="10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420" w:right="240" w:hanging="412"/>
        <w:spacing w:after="0" w:line="286"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left="1060" w:right="40" w:hanging="404"/>
        <w:spacing w:after="0" w:line="304" w:lineRule="auto"/>
        <w:tabs>
          <w:tab w:leader="none" w:pos="10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6"/>
          <w:szCs w:val="16"/>
          <w:color w:val="auto"/>
        </w:rPr>
      </w:pPr>
    </w:p>
    <w:p>
      <w:pPr>
        <w:ind w:left="1060" w:right="520" w:hanging="404"/>
        <w:spacing w:after="0" w:line="304" w:lineRule="auto"/>
        <w:tabs>
          <w:tab w:leader="none" w:pos="10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Date: May 28, 2026</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80" w:type="dxa"/>
            <w:vAlign w:val="bottom"/>
          </w:tcPr>
          <w:p>
            <w:pPr>
              <w:spacing w:after="0"/>
              <w:rPr>
                <w:sz w:val="20"/>
                <w:szCs w:val="20"/>
                <w:color w:val="auto"/>
              </w:rPr>
            </w:pPr>
            <w:r>
              <w:rPr>
                <w:rFonts w:ascii="Arial" w:cs="Arial" w:eastAsia="Arial" w:hAnsi="Arial"/>
                <w:sz w:val="16"/>
                <w:szCs w:val="16"/>
                <w:color w:val="auto"/>
              </w:rPr>
              <w:t>By:</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James Lucania</w:t>
            </w:r>
          </w:p>
        </w:tc>
      </w:tr>
      <w:tr>
        <w:trPr>
          <w:trHeight w:val="210"/>
        </w:trPr>
        <w:tc>
          <w:tcPr>
            <w:tcW w:w="880" w:type="dxa"/>
            <w:vAlign w:val="bottom"/>
          </w:tcPr>
          <w:p>
            <w:pPr>
              <w:spacing w:after="0"/>
              <w:rPr>
                <w:sz w:val="20"/>
                <w:szCs w:val="20"/>
                <w:color w:val="auto"/>
              </w:rPr>
            </w:pPr>
            <w:r>
              <w:rPr>
                <w:rFonts w:ascii="Arial" w:cs="Arial" w:eastAsia="Arial" w:hAnsi="Arial"/>
                <w:sz w:val="16"/>
                <w:szCs w:val="16"/>
                <w:color w:val="auto"/>
              </w:rPr>
              <w:t>Name:</w:t>
            </w:r>
          </w:p>
        </w:tc>
        <w:tc>
          <w:tcPr>
            <w:tcW w:w="3860" w:type="dxa"/>
            <w:vAlign w:val="bottom"/>
          </w:tcPr>
          <w:p>
            <w:pPr>
              <w:ind w:left="20"/>
              <w:spacing w:after="0"/>
              <w:rPr>
                <w:sz w:val="20"/>
                <w:szCs w:val="20"/>
                <w:color w:val="auto"/>
              </w:rPr>
            </w:pPr>
            <w:r>
              <w:rPr>
                <w:rFonts w:ascii="Arial" w:cs="Arial" w:eastAsia="Arial" w:hAnsi="Arial"/>
                <w:sz w:val="16"/>
                <w:szCs w:val="16"/>
                <w:color w:val="auto"/>
              </w:rPr>
              <w:t>James Lucania</w:t>
            </w:r>
          </w:p>
        </w:tc>
      </w:tr>
      <w:tr>
        <w:trPr>
          <w:trHeight w:val="165"/>
        </w:trPr>
        <w:tc>
          <w:tcPr>
            <w:tcW w:w="880" w:type="dxa"/>
            <w:vAlign w:val="bottom"/>
          </w:tcPr>
          <w:p>
            <w:pPr>
              <w:spacing w:after="0" w:line="165" w:lineRule="exact"/>
              <w:rPr>
                <w:sz w:val="20"/>
                <w:szCs w:val="20"/>
                <w:color w:val="auto"/>
              </w:rPr>
            </w:pPr>
            <w:r>
              <w:rPr>
                <w:rFonts w:ascii="Arial" w:cs="Arial" w:eastAsia="Arial" w:hAnsi="Arial"/>
                <w:sz w:val="16"/>
                <w:szCs w:val="16"/>
                <w:color w:val="auto"/>
              </w:rPr>
              <w:t>Title:</w:t>
            </w:r>
          </w:p>
        </w:tc>
        <w:tc>
          <w:tcPr>
            <w:tcW w:w="3860" w:type="dxa"/>
            <w:vAlign w:val="bottom"/>
          </w:tcPr>
          <w:p>
            <w:pPr>
              <w:ind w:left="20"/>
              <w:spacing w:after="0" w:line="165" w:lineRule="exact"/>
              <w:rPr>
                <w:sz w:val="20"/>
                <w:szCs w:val="20"/>
                <w:color w:val="auto"/>
              </w:rPr>
            </w:pPr>
            <w:r>
              <w:rPr>
                <w:rFonts w:ascii="Arial" w:cs="Arial" w:eastAsia="Arial" w:hAnsi="Arial"/>
                <w:sz w:val="16"/>
                <w:szCs w:val="16"/>
                <w:i w:val="1"/>
                <w:iCs w:val="1"/>
                <w:color w:val="auto"/>
              </w:rPr>
              <w:t>Executive Vice President and Chief Financial Officer</w:t>
            </w:r>
          </w:p>
        </w:tc>
      </w:tr>
      <w:tr>
        <w:trPr>
          <w:trHeight w:val="213"/>
        </w:trPr>
        <w:tc>
          <w:tcPr>
            <w:tcW w:w="88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r>
    </w:tbl>
    <w:p>
      <w:pPr>
        <w:sectPr>
          <w:pgSz w:w="11900" w:h="16838" w:orient="portrait"/>
          <w:cols w:equalWidth="0" w:num="1">
            <w:col w:w="11240"/>
          </w:cols>
          <w:pgMar w:left="320" w:top="89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3"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Scott Cutler, the Chief Executive Officer (Principal Executive Officer) of HealthEquity, Inc. (the “Company”), hereby certify that, to my knowledge:</w:t>
      </w:r>
    </w:p>
    <w:p>
      <w:pPr>
        <w:spacing w:after="0" w:line="99" w:lineRule="exact"/>
        <w:rPr>
          <w:sz w:val="20"/>
          <w:szCs w:val="20"/>
          <w:color w:val="auto"/>
        </w:rPr>
      </w:pPr>
    </w:p>
    <w:p>
      <w:pPr>
        <w:ind w:left="660" w:right="560" w:hanging="328"/>
        <w:spacing w:after="0" w:line="287"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April 30, 2026 (the “Report”), of the Company fully complies with the requirements of Section 13(a) or 15(d) of the Securities Exchange Act of 1934; and</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2026</w:t>
      </w: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Scott Cutler</w:t>
            </w:r>
          </w:p>
        </w:tc>
      </w:tr>
      <w:tr>
        <w:trPr>
          <w:trHeight w:val="218"/>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ind w:left="140"/>
              <w:spacing w:after="0"/>
              <w:rPr>
                <w:sz w:val="20"/>
                <w:szCs w:val="20"/>
                <w:color w:val="auto"/>
              </w:rPr>
            </w:pPr>
            <w:r>
              <w:rPr>
                <w:rFonts w:ascii="Arial" w:cs="Arial" w:eastAsia="Arial" w:hAnsi="Arial"/>
                <w:sz w:val="18"/>
                <w:szCs w:val="18"/>
                <w:color w:val="auto"/>
              </w:rPr>
              <w:t>Scott Cutler</w:t>
            </w:r>
          </w:p>
        </w:tc>
      </w:tr>
      <w:tr>
        <w:trPr>
          <w:trHeight w:val="181"/>
        </w:trPr>
        <w:tc>
          <w:tcPr>
            <w:tcW w:w="800" w:type="dxa"/>
            <w:vAlign w:val="bottom"/>
          </w:tcPr>
          <w:p>
            <w:pPr>
              <w:spacing w:after="0" w:line="181" w:lineRule="exact"/>
              <w:rPr>
                <w:sz w:val="20"/>
                <w:szCs w:val="20"/>
                <w:color w:val="auto"/>
              </w:rPr>
            </w:pPr>
            <w:r>
              <w:rPr>
                <w:rFonts w:ascii="Arial" w:cs="Arial" w:eastAsia="Arial" w:hAnsi="Arial"/>
                <w:sz w:val="18"/>
                <w:szCs w:val="18"/>
                <w:color w:val="auto"/>
              </w:rPr>
              <w:t>Title:</w:t>
            </w:r>
          </w:p>
        </w:tc>
        <w:tc>
          <w:tcPr>
            <w:tcW w:w="3560" w:type="dxa"/>
            <w:vAlign w:val="bottom"/>
          </w:tcPr>
          <w:p>
            <w:pPr>
              <w:ind w:left="140"/>
              <w:spacing w:after="0" w:line="181" w:lineRule="exact"/>
              <w:rPr>
                <w:sz w:val="20"/>
                <w:szCs w:val="20"/>
                <w:color w:val="auto"/>
              </w:rPr>
            </w:pPr>
            <w:r>
              <w:rPr>
                <w:rFonts w:ascii="Arial" w:cs="Arial" w:eastAsia="Arial" w:hAnsi="Arial"/>
                <w:sz w:val="18"/>
                <w:szCs w:val="18"/>
                <w:i w:val="1"/>
                <w:iCs w:val="1"/>
                <w:color w:val="auto"/>
              </w:rPr>
              <w:t>Chief Executive Officer</w:t>
            </w:r>
          </w:p>
        </w:tc>
      </w:tr>
      <w:tr>
        <w:trPr>
          <w:trHeight w:val="237"/>
        </w:trPr>
        <w:tc>
          <w:tcPr>
            <w:tcW w:w="800" w:type="dxa"/>
            <w:vAlign w:val="bottom"/>
          </w:tcPr>
          <w:p>
            <w:pPr>
              <w:spacing w:after="0"/>
              <w:rPr>
                <w:sz w:val="20"/>
                <w:szCs w:val="20"/>
                <w:color w:val="auto"/>
              </w:rPr>
            </w:pPr>
          </w:p>
        </w:tc>
        <w:tc>
          <w:tcPr>
            <w:tcW w:w="356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James Lucania, Executive Vice President and Chief Financial Officer (Principal Financial Officer) of HealthEquity, Inc. (the “Company”), hereby certify that, to my knowledge:</w:t>
      </w:r>
    </w:p>
    <w:p>
      <w:pPr>
        <w:spacing w:after="0" w:line="117" w:lineRule="exact"/>
        <w:rPr>
          <w:sz w:val="20"/>
          <w:szCs w:val="20"/>
          <w:color w:val="auto"/>
        </w:rPr>
      </w:pPr>
    </w:p>
    <w:p>
      <w:pPr>
        <w:ind w:left="660" w:right="560" w:hanging="328"/>
        <w:spacing w:after="0" w:line="287"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April 30, 2026 (the “Report”), of the Company fully complies with the requirements of Section 13(a) or 15(d) of the Securities Exchange Act of 1934; and</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2026</w:t>
      </w: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James Lucania</w:t>
            </w:r>
          </w:p>
        </w:tc>
      </w:tr>
      <w:tr>
        <w:trPr>
          <w:trHeight w:val="218"/>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ind w:left="140"/>
              <w:spacing w:after="0"/>
              <w:rPr>
                <w:sz w:val="20"/>
                <w:szCs w:val="20"/>
                <w:color w:val="auto"/>
              </w:rPr>
            </w:pPr>
            <w:r>
              <w:rPr>
                <w:rFonts w:ascii="Arial" w:cs="Arial" w:eastAsia="Arial" w:hAnsi="Arial"/>
                <w:sz w:val="18"/>
                <w:szCs w:val="18"/>
                <w:color w:val="auto"/>
              </w:rPr>
              <w:t>James Lucania</w:t>
            </w:r>
          </w:p>
        </w:tc>
      </w:tr>
      <w:tr>
        <w:trPr>
          <w:trHeight w:val="181"/>
        </w:trPr>
        <w:tc>
          <w:tcPr>
            <w:tcW w:w="960" w:type="dxa"/>
            <w:vAlign w:val="bottom"/>
          </w:tcPr>
          <w:p>
            <w:pPr>
              <w:spacing w:after="0" w:line="181" w:lineRule="exact"/>
              <w:rPr>
                <w:sz w:val="20"/>
                <w:szCs w:val="20"/>
                <w:color w:val="auto"/>
              </w:rPr>
            </w:pPr>
            <w:r>
              <w:rPr>
                <w:rFonts w:ascii="Arial" w:cs="Arial" w:eastAsia="Arial" w:hAnsi="Arial"/>
                <w:sz w:val="18"/>
                <w:szCs w:val="18"/>
                <w:color w:val="auto"/>
              </w:rPr>
              <w:t>Title:</w:t>
            </w:r>
          </w:p>
        </w:tc>
        <w:tc>
          <w:tcPr>
            <w:tcW w:w="3540" w:type="dxa"/>
            <w:vAlign w:val="bottom"/>
          </w:tcPr>
          <w:p>
            <w:pPr>
              <w:ind w:left="140"/>
              <w:spacing w:after="0" w:line="181" w:lineRule="exact"/>
              <w:rPr>
                <w:sz w:val="20"/>
                <w:szCs w:val="20"/>
                <w:color w:val="auto"/>
              </w:rPr>
            </w:pPr>
            <w:r>
              <w:rPr>
                <w:rFonts w:ascii="Arial" w:cs="Arial" w:eastAsia="Arial" w:hAnsi="Arial"/>
                <w:sz w:val="18"/>
                <w:szCs w:val="18"/>
                <w:i w:val="1"/>
                <w:iCs w:val="1"/>
                <w:color w:val="auto"/>
              </w:rPr>
              <w:t>Executive Vice President and Chief</w:t>
            </w:r>
          </w:p>
        </w:tc>
      </w:tr>
      <w:tr>
        <w:trPr>
          <w:trHeight w:val="186"/>
        </w:trPr>
        <w:tc>
          <w:tcPr>
            <w:tcW w:w="960" w:type="dxa"/>
            <w:vAlign w:val="bottom"/>
          </w:tcPr>
          <w:p>
            <w:pPr>
              <w:spacing w:after="0"/>
              <w:rPr>
                <w:sz w:val="16"/>
                <w:szCs w:val="16"/>
                <w:color w:val="auto"/>
              </w:rPr>
            </w:pPr>
          </w:p>
        </w:tc>
        <w:tc>
          <w:tcPr>
            <w:tcW w:w="3540" w:type="dxa"/>
            <w:vAlign w:val="bottom"/>
          </w:tcPr>
          <w:p>
            <w:pPr>
              <w:ind w:left="140"/>
              <w:spacing w:after="0" w:line="186" w:lineRule="exact"/>
              <w:rPr>
                <w:sz w:val="20"/>
                <w:szCs w:val="20"/>
                <w:color w:val="auto"/>
              </w:rPr>
            </w:pPr>
            <w:r>
              <w:rPr>
                <w:rFonts w:ascii="Arial" w:cs="Arial" w:eastAsia="Arial" w:hAnsi="Arial"/>
                <w:sz w:val="18"/>
                <w:szCs w:val="18"/>
                <w:i w:val="1"/>
                <w:iCs w:val="1"/>
                <w:color w:val="auto"/>
              </w:rPr>
              <w:t>Financial Officer</w:t>
            </w:r>
          </w:p>
        </w:tc>
      </w:tr>
      <w:tr>
        <w:trPr>
          <w:trHeight w:val="237"/>
        </w:trPr>
        <w:tc>
          <w:tcPr>
            <w:tcW w:w="960" w:type="dxa"/>
            <w:vAlign w:val="bottom"/>
          </w:tcPr>
          <w:p>
            <w:pPr>
              <w:spacing w:after="0"/>
              <w:rPr>
                <w:sz w:val="20"/>
                <w:szCs w:val="20"/>
                <w:color w:val="auto"/>
              </w:rPr>
            </w:pPr>
          </w:p>
        </w:tc>
        <w:tc>
          <w:tcPr>
            <w:tcW w:w="3540" w:type="dxa"/>
            <w:vAlign w:val="bottom"/>
          </w:tcPr>
          <w:p>
            <w:pPr>
              <w:ind w:left="1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04"/>
    </w:lvl>
    <w:lvl w:ilvl="1">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lvl w:ilvl="1">
      <w:lvlJc w:val="left"/>
      <w:lvlText w:val="(%2)"/>
      <w:numFmt w:val="lowerLetter"/>
      <w:start w:val="1"/>
    </w:lvl>
  </w:abstractNum>
  <w:abstractNum w:abstractNumId="11">
    <w:nsid w:val="4516DDE9"/>
    <w:multiLevelType w:val="hybridMultilevel"/>
    <w:lvl w:ilvl="0">
      <w:lvlJc w:val="left"/>
      <w:lvlText w:val="%1."/>
      <w:numFmt w:val="decimal"/>
      <w:start w:val="6"/>
    </w:lvl>
    <w:lvl w:ilvl="1">
      <w:lvlJc w:val="left"/>
      <w:lvlText w:val="(%2)"/>
      <w:numFmt w:val="lowerLetter"/>
      <w:start w:val="1"/>
    </w:lvl>
  </w:abstractNum>
  <w:abstractNum w:abstractNumId="12">
    <w:nsid w:val="3006C83E"/>
    <w:multiLevelType w:val="hybridMultilevel"/>
    <w:lvl w:ilvl="0">
      <w:lvlJc w:val="left"/>
      <w:lvlText w:val="%1"/>
      <w:numFmt w:val="lowerLetter"/>
      <w:start w:val="1"/>
    </w:lvl>
    <w:lvl w:ilvl="1">
      <w:lvlJc w:val="left"/>
      <w:lvlText w:val="%2)"/>
      <w:numFmt w:val="decimal"/>
      <w:start w:val="1"/>
    </w:lvl>
  </w:abstractNum>
  <w:abstractNum w:abstractNumId="13">
    <w:nsid w:val="614FD4A1"/>
    <w:multiLevelType w:val="hybridMultilevel"/>
    <w:lvl w:ilvl="0">
      <w:lvlJc w:val="left"/>
      <w:lvlText w:val="(%1)"/>
      <w:numFmt w:val="lowerLetter"/>
      <w:start w:val="2"/>
    </w:lvl>
    <w:lvl w:ilvl="1">
      <w:lvlJc w:val="left"/>
      <w:lvlText w:val="%2"/>
      <w:numFmt w:val="decimal"/>
      <w:start w:val="1"/>
    </w:lvl>
  </w:abstractNum>
  <w:abstractNum w:abstractNumId="14">
    <w:nsid w:val="419AC241"/>
    <w:multiLevelType w:val="hybridMultilevel"/>
    <w:lvl w:ilvl="0">
      <w:lvlJc w:val="left"/>
      <w:lvlText w:val="%1"/>
      <w:numFmt w:val="decimal"/>
      <w:start w:val="1"/>
    </w:lvl>
    <w:lvl w:ilvl="1">
      <w:lvlJc w:val="left"/>
      <w:lvlText w:val="(%2)"/>
      <w:numFmt w:val="lowerLetter"/>
      <w:start w:val="4"/>
    </w:lvl>
  </w:abstractNum>
  <w:abstractNum w:abstractNumId="15">
    <w:nsid w:val="5577F8E1"/>
    <w:multiLevelType w:val="hybridMultilevel"/>
    <w:lvl w:ilvl="0">
      <w:lvlJc w:val="left"/>
      <w:lvlText w:val="%1."/>
      <w:numFmt w:val="decimal"/>
      <w:start w:val="11"/>
    </w:lvl>
    <w:lvl w:ilvl="1">
      <w:lvlJc w:val="left"/>
      <w:lvlText w:val="%2"/>
      <w:numFmt w:val="lowerLetter"/>
      <w:start w:val="1"/>
    </w:lvl>
  </w:abstractNum>
  <w:abstractNum w:abstractNumId="16">
    <w:nsid w:val="440BADFC"/>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
    </w:lvl>
    <w:lvl w:ilvl="1">
      <w:lvlJc w:val="left"/>
      <w:lvlText w:val="(%2)"/>
      <w:numFmt w:val="lowerLetter"/>
      <w:start w:val="1"/>
    </w:lvl>
  </w:abstractNum>
  <w:abstractNum w:abstractNumId="19">
    <w:nsid w:val="77465F01"/>
    <w:multiLevelType w:val="hybridMultilevel"/>
    <w:lvl w:ilvl="0">
      <w:lvlJc w:val="left"/>
      <w:lvlText w:val="%1."/>
      <w:numFmt w:val="decimal"/>
      <w:start w:val="6"/>
    </w:lvl>
    <w:lvl w:ilvl="1">
      <w:lvlJc w:val="left"/>
      <w:lvlText w:val="(%2)"/>
      <w:numFmt w:val="lowerLetter"/>
      <w:start w:val="1"/>
    </w:lvl>
  </w:abstractNum>
  <w:abstractNum w:abstractNumId="20">
    <w:nsid w:val="7724C67E"/>
    <w:multiLevelType w:val="hybridMultilevel"/>
    <w:lvl w:ilvl="0">
      <w:lvlJc w:val="left"/>
      <w:lvlText w:val="%1"/>
      <w:numFmt w:val="lowerLetter"/>
      <w:start w:val="1"/>
    </w:lvl>
    <w:lvl w:ilvl="1">
      <w:lvlJc w:val="left"/>
      <w:lvlText w:val="%2)"/>
      <w:numFmt w:val="decimal"/>
      <w:start w:val="1"/>
    </w:lvl>
  </w:abstractNum>
  <w:abstractNum w:abstractNumId="21">
    <w:nsid w:val="5C482A97"/>
    <w:multiLevelType w:val="hybridMultilevel"/>
    <w:lvl w:ilvl="0">
      <w:lvlJc w:val="left"/>
      <w:lvlText w:val="(%1)"/>
      <w:numFmt w:val="lowerLetter"/>
      <w:start w:val="2"/>
    </w:lvl>
    <w:lvl w:ilvl="1">
      <w:lvlJc w:val="left"/>
      <w:lvlText w:val="%2"/>
      <w:numFmt w:val="decimal"/>
      <w:start w:val="1"/>
    </w:lvl>
  </w:abstractNum>
  <w:abstractNum w:abstractNumId="22">
    <w:nsid w:val="2463B9EA"/>
    <w:multiLevelType w:val="hybridMultilevel"/>
    <w:lvl w:ilvl="0">
      <w:lvlJc w:val="left"/>
      <w:lvlText w:val="%1."/>
      <w:numFmt w:val="decimal"/>
      <w:start w:val="11"/>
    </w:lvl>
  </w:abstractNum>
  <w:abstractNum w:abstractNumId="23">
    <w:nsid w:val="5E884ADC"/>
    <w:multiLevelType w:val="hybridMultilevel"/>
    <w:lvl w:ilvl="0">
      <w:lvlJc w:val="left"/>
      <w:lvlText w:val="%1."/>
      <w:numFmt w:val="decimal"/>
      <w:start w:val="19"/>
    </w:lvl>
    <w:lvl w:ilvl="1">
      <w:lvlJc w:val="left"/>
      <w:lvlText w:val="(%2)"/>
      <w:numFmt w:val="lowerLetter"/>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lvl w:ilvl="1">
      <w:lvlJc w:val="left"/>
      <w:lvlText w:val="(%2)"/>
      <w:numFmt w:val="lowerLetter"/>
      <w:start w:val="1"/>
    </w:lvl>
  </w:abstractNum>
  <w:abstractNum w:abstractNumId="26">
    <w:nsid w:val="580BD78F"/>
    <w:multiLevelType w:val="hybridMultilevel"/>
    <w:lvl w:ilvl="0">
      <w:lvlJc w:val="left"/>
      <w:lvlText w:val="%1."/>
      <w:numFmt w:val="decimal"/>
      <w:start w:val="6"/>
    </w:lvl>
    <w:lvl w:ilvl="1">
      <w:lvlJc w:val="left"/>
      <w:lvlText w:val="(%2)"/>
      <w:numFmt w:val="lowerLetter"/>
      <w:start w:val="1"/>
    </w:lvl>
  </w:abstractNum>
  <w:abstractNum w:abstractNumId="27">
    <w:nsid w:val="153EA438"/>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28">
    <w:nsid w:val="3855585C"/>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5"/>
    </w:lvl>
  </w:abstractNum>
  <w:abstractNum w:abstractNumId="29">
    <w:nsid w:val="70A64E2A"/>
    <w:multiLevelType w:val="hybridMultilevel"/>
    <w:lvl w:ilvl="0">
      <w:lvlJc w:val="left"/>
      <w:lvlText w:val="%1"/>
      <w:numFmt w:val="decimal"/>
      <w:start w:val="1"/>
    </w:lvl>
    <w:lvl w:ilvl="1">
      <w:lvlJc w:val="left"/>
      <w:lvlText w:val="(%2)"/>
      <w:numFmt w:val="lowerLetter"/>
      <w:start w:val="4"/>
    </w:lvl>
  </w:abstractNum>
  <w:abstractNum w:abstractNumId="30">
    <w:nsid w:val="6A2342EC"/>
    <w:multiLevelType w:val="hybridMultilevel"/>
    <w:lvl w:ilvl="0">
      <w:lvlJc w:val="left"/>
      <w:lvlText w:val="%1."/>
      <w:numFmt w:val="decimal"/>
      <w:start w:val="11"/>
    </w:lvl>
    <w:lvl w:ilvl="1">
      <w:lvlJc w:val="left"/>
      <w:lvlText w:val="%2"/>
      <w:numFmt w:val="lowerLetter"/>
      <w:start w:val="1"/>
    </w:lvl>
  </w:abstractNum>
  <w:abstractNum w:abstractNumId="31">
    <w:nsid w:val="2A487CB0"/>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32">
    <w:nsid w:val="1D4ED43B"/>
    <w:multiLevelType w:val="hybridMultilevel"/>
    <w:lvl w:ilvl="0">
      <w:lvlJc w:val="left"/>
      <w:lvlText w:val="%1."/>
      <w:numFmt w:val="decimal"/>
      <w:start w:val="1"/>
    </w:lvl>
    <w:lvl w:ilvl="1">
      <w:lvlJc w:val="left"/>
      <w:lvlText w:val="(%2)"/>
      <w:numFmt w:val="lowerLetter"/>
      <w:start w:val="1"/>
    </w:lvl>
  </w:abstractNum>
  <w:abstractNum w:abstractNumId="33">
    <w:nsid w:val="725A06FB"/>
    <w:multiLevelType w:val="hybridMultilevel"/>
    <w:lvl w:ilvl="0">
      <w:lvlJc w:val="left"/>
      <w:lvlText w:val="%1"/>
      <w:numFmt w:val="decimal"/>
      <w:start w:val="1"/>
    </w:lvl>
    <w:lvl w:ilvl="1">
      <w:lvlJc w:val="left"/>
      <w:lvlText w:val="(%2)"/>
      <w:numFmt w:val="lowerRoman"/>
      <w:start w:val="1"/>
    </w:lvl>
  </w:abstractNum>
  <w:abstractNum w:abstractNumId="34">
    <w:nsid w:val="2CD89A32"/>
    <w:multiLevelType w:val="hybridMultilevel"/>
    <w:lvl w:ilvl="0">
      <w:lvlJc w:val="left"/>
      <w:lvlText w:val="%1."/>
      <w:numFmt w:val="decimal"/>
      <w:start w:val="2"/>
    </w:lvl>
    <w:lvl w:ilvl="1">
      <w:lvlJc w:val="left"/>
      <w:lvlText w:val="%2"/>
      <w:numFmt w:val="lowerRoman"/>
      <w:start w:val="1"/>
    </w:lvl>
  </w:abstractNum>
  <w:abstractNum w:abstractNumId="35">
    <w:nsid w:val="57E4CCAF"/>
    <w:multiLevelType w:val="hybridMultilevel"/>
    <w:lvl w:ilvl="0">
      <w:lvlJc w:val="left"/>
      <w:lvlText w:val="%1."/>
      <w:numFmt w:val="decimal"/>
      <w:start w:val="3"/>
    </w:lvl>
    <w:lvl w:ilvl="1">
      <w:lvlJc w:val="left"/>
      <w:lvlText w:val="*"/>
      <w:numFmt w:val="bullet"/>
      <w:start w:val="1"/>
    </w:lvl>
  </w:abstractNum>
  <w:abstractNum w:abstractNumId="36">
    <w:nsid w:val="7A6D8D3C"/>
    <w:multiLevelType w:val="hybridMultilevel"/>
    <w:lvl w:ilvl="0">
      <w:lvlJc w:val="left"/>
      <w:lvlText w:val="%1."/>
      <w:numFmt w:val="decimal"/>
      <w:start w:val="1"/>
    </w:lvl>
    <w:lvl w:ilvl="1">
      <w:lvlJc w:val="left"/>
      <w:lvlText w:val="(%2)"/>
      <w:numFmt w:val="lowerLetter"/>
      <w:start w:val="1"/>
    </w:lvl>
  </w:abstractNum>
  <w:abstractNum w:abstractNumId="37">
    <w:nsid w:val="4B588F54"/>
    <w:multiLevelType w:val="hybridMultilevel"/>
    <w:lvl w:ilvl="0">
      <w:lvlJc w:val="left"/>
      <w:lvlText w:val="%1"/>
      <w:numFmt w:val="decimal"/>
      <w:start w:val="1"/>
    </w:lvl>
    <w:lvl w:ilvl="1">
      <w:lvlJc w:val="left"/>
      <w:lvlText w:val="(%2)"/>
      <w:numFmt w:val="lowerRoman"/>
      <w:start w:val="1"/>
    </w:lvl>
  </w:abstractNum>
  <w:abstractNum w:abstractNumId="38">
    <w:nsid w:val="542289EC"/>
    <w:multiLevelType w:val="hybridMultilevel"/>
    <w:lvl w:ilvl="0">
      <w:lvlJc w:val="left"/>
      <w:lvlText w:val="%1."/>
      <w:numFmt w:val="decimal"/>
      <w:start w:val="2"/>
    </w:lvl>
    <w:lvl w:ilvl="1">
      <w:lvlJc w:val="left"/>
      <w:lvlText w:val="%2"/>
      <w:numFmt w:val="lowerRoman"/>
      <w:start w:val="1"/>
    </w:lvl>
  </w:abstractNum>
  <w:abstractNum w:abstractNumId="39">
    <w:nsid w:val="6DE91B18"/>
    <w:multiLevelType w:val="hybridMultilevel"/>
    <w:lvl w:ilvl="0">
      <w:lvlJc w:val="left"/>
      <w:lvlText w:val="%1."/>
      <w:numFmt w:val="decimal"/>
      <w:start w:val="3"/>
    </w:lvl>
    <w:lvl w:ilvl="1">
      <w:lvlJc w:val="left"/>
      <w:lvlText w:val="*"/>
      <w:numFmt w:val="bullet"/>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3"/>
    </w:lvl>
  </w:abstractNum>
  <w:abstractNum w:abstractNumId="42">
    <w:nsid w:val="32FFF902"/>
    <w:multiLevelType w:val="hybridMultilevel"/>
    <w:lvl w:ilvl="0">
      <w:lvlJc w:val="left"/>
      <w:lvlText w:val="%1."/>
      <w:numFmt w:val="decimal"/>
      <w:start w:val="4"/>
    </w:lvl>
    <w:lvl w:ilvl="1">
      <w:lvlJc w:val="left"/>
      <w:lvlText w:val="*"/>
      <w:numFmt w:val="bullet"/>
      <w:start w:val="1"/>
    </w:lvl>
  </w:abstractNum>
  <w:abstractNum w:abstractNumId="43">
    <w:nsid w:val="684A481A"/>
    <w:multiLevelType w:val="hybridMultilevel"/>
    <w:lvl w:ilvl="0">
      <w:lvlJc w:val="left"/>
      <w:lvlText w:val="%1."/>
      <w:numFmt w:val="decimal"/>
      <w:start w:val="1"/>
    </w:lvl>
    <w:lvl w:ilvl="1">
      <w:lvlJc w:val="left"/>
      <w:lvlText w:val="(%2)"/>
      <w:numFmt w:val="lowerLetter"/>
      <w:start w:val="1"/>
    </w:lvl>
  </w:abstractNum>
  <w:abstractNum w:abstractNumId="44">
    <w:nsid w:val="579478FE"/>
    <w:multiLevelType w:val="hybridMultilevel"/>
    <w:lvl w:ilvl="0">
      <w:lvlJc w:val="left"/>
      <w:lvlText w:val="%1."/>
      <w:numFmt w:val="decimal"/>
      <w:start w:val="2"/>
    </w:lvl>
  </w:abstractNum>
  <w:abstractNum w:abstractNumId="45">
    <w:nsid w:val="749ABB43"/>
    <w:multiLevelType w:val="hybridMultilevel"/>
    <w:lvl w:ilvl="0">
      <w:lvlJc w:val="left"/>
      <w:lvlText w:val="%1."/>
      <w:numFmt w:val="decimal"/>
      <w:start w:val="3"/>
    </w:lvl>
    <w:lvl w:ilvl="1">
      <w:lvlJc w:val="left"/>
      <w:lvlText w:val="*"/>
      <w:numFmt w:val="bullet"/>
      <w:start w:val="1"/>
    </w:lvl>
  </w:abstractNum>
  <w:abstractNum w:abstractNumId="46">
    <w:nsid w:val="3DC240FB"/>
    <w:multiLevelType w:val="hybridMultilevel"/>
    <w:lvl w:ilvl="0">
      <w:lvlJc w:val="left"/>
      <w:lvlText w:val="%1."/>
      <w:numFmt w:val="decimal"/>
      <w:start w:val="1"/>
    </w:lvl>
    <w:lvl w:ilvl="1">
      <w:lvlJc w:val="left"/>
      <w:lvlText w:val="(%2)"/>
      <w:numFmt w:val="lowerLetter"/>
      <w:start w:val="1"/>
    </w:lvl>
  </w:abstractNum>
  <w:abstractNum w:abstractNumId="47">
    <w:nsid w:val="1BA026FA"/>
    <w:multiLevelType w:val="hybridMultilevel"/>
    <w:lvl w:ilvl="0">
      <w:lvlJc w:val="left"/>
      <w:lvlText w:val="%1"/>
      <w:numFmt w:val="decimal"/>
      <w:start w:val="1"/>
    </w:lvl>
    <w:lvl w:ilvl="1">
      <w:lvlJc w:val="left"/>
      <w:lvlText w:val="(%2)"/>
      <w:numFmt w:val="lowerRoman"/>
      <w:start w:val="1"/>
    </w:lvl>
  </w:abstractNum>
  <w:abstractNum w:abstractNumId="48">
    <w:nsid w:val="79A1DEAA"/>
    <w:multiLevelType w:val="hybridMultilevel"/>
    <w:lvl w:ilvl="0">
      <w:lvlJc w:val="left"/>
      <w:lvlText w:val="%1."/>
      <w:numFmt w:val="decimal"/>
      <w:start w:val="2"/>
    </w:lvl>
    <w:lvl w:ilvl="1">
      <w:lvlJc w:val="left"/>
      <w:lvlText w:val="%2"/>
      <w:numFmt w:val="lowerRoman"/>
      <w:start w:val="1"/>
    </w:lvl>
  </w:abstractNum>
  <w:abstractNum w:abstractNumId="49">
    <w:nsid w:val="75C6C33A"/>
    <w:multiLevelType w:val="hybridMultilevel"/>
    <w:lvl w:ilvl="0">
      <w:lvlJc w:val="left"/>
      <w:lvlText w:val="%1."/>
      <w:numFmt w:val="decimal"/>
      <w:start w:val="3"/>
    </w:lvl>
    <w:lvl w:ilvl="1">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2026-05-28T17:08:34Z</dcterms:created>
  <dcterms:modified xsi:type="dcterms:W3CDTF">2026-05-28T17:08:34Z</dcterms:modified>
</cp:coreProperties>
</file>