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60" w:type="dxa"/>
            <w:vAlign w:val="bottom"/>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Ladd Delano</w:t>
              </w:r>
            </w:hyperlink>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HEALTHEQUITY,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HQY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HEALTHEQUITY, INC.15 W. SCENIC POINT</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01/25/2021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STE. 100</w:t>
            </w:r>
          </w:p>
        </w:tc>
        <w:tc>
          <w:tcPr>
            <w:tcW w:w="1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0000FF"/>
        </w:rPr>
        <w:t>EVP, Counsel &amp; Secretary</w:t>
      </w:r>
    </w:p>
    <w:p>
      <w:pPr>
        <w:spacing w:after="0" w:line="409"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560" w:type="dxa"/>
            <w:vAlign w:val="bottom"/>
            <w:gridSpan w:val="6"/>
          </w:tcPr>
          <w:p>
            <w:pPr>
              <w:jc w:val="center"/>
              <w:spacing w:after="0" w:line="124"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1"/>
          </w:tcPr>
          <w:p>
            <w:pPr>
              <w:ind w:left="420"/>
              <w:spacing w:after="0" w:line="12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DRAPER</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84020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20,625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24.36</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50,836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34,375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30.57</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85,211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11,504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84.1425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73,707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7,261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84.8186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66,446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01/25/2021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36,235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85.7715</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30,211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24.36</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01/25/2021</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20,625</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03/23/2026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20,625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30.57</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01/25/2021</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34,375</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08/24/2026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34,375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-4340225</wp:posOffset>
            </wp:positionV>
            <wp:extent cx="7033895" cy="4479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479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11, 2020.</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$83.55 to $84.54,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$84.55 to $85.54,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$85.63 to $86.13,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Delano W. Ladd</w:t>
            </w:r>
          </w:p>
        </w:tc>
        <w:tc>
          <w:tcPr>
            <w:tcW w:w="9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01/26/2021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3056"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2021-01-26T16:26:51Z</dcterms:created>
  <dcterms:modified xsi:type="dcterms:W3CDTF">2021-01-26T16:26:51Z</dcterms:modified>
</cp:coreProperties>
</file>