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4022026_090438.xml.htm"/>
      <w:bookmarkStart w:id="1" w:name="ksform404022026_09043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Rosner Elimelech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HEALTHEQUITY,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 W. SCENIC POINTE DR., STE.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DRAPER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84020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HEALTHEQUITY,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HQY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TECHNOLOGY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03/31/2026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59"/>
        <w:gridCol w:w="902"/>
        <w:gridCol w:w="772"/>
        <w:gridCol w:w="599"/>
        <w:gridCol w:w="344"/>
        <w:gridCol w:w="919"/>
        <w:gridCol w:w="443"/>
        <w:gridCol w:w="924"/>
        <w:gridCol w:w="1143"/>
        <w:gridCol w:w="983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5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8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5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5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03/31/2026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18,010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82.5264</w:t>
            </w:r>
            <w:r>
              <w:rPr/>
              <w:t xml:space="preserve"> </w:t>
            </w:r>
          </w:p>
        </w:tc>
        <w:tc>
          <w:tcPr>
            <w:tcW w:w="11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86,265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The Power of Attorney given by Mr. Rosner was previously filed with the U.S. Securities and Exchange Commission on July 7, 2023, as an exhibit to a statement on Form 4 filed by Mr. Rosner with respect to HealthEquity, Inc. and is hereby incorporated by reference.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Newton,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16312" TargetMode="External"/><Relationship Id="rId5" Type="http://schemas.openxmlformats.org/officeDocument/2006/relationships/hyperlink" Target="http://www.sec.gov/cgi-bin/browse-edgar?action=getcompany&amp;CIK=000142833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612</Words>
  <Characters>3311</Characters>
  <CharactersWithSpaces>3862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