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102026_080751.xml.htm"/>
      <w:bookmarkStart w:id="1" w:name="ksform407102026_08075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Neeleman Stephen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HEALTHEQUITY,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 W. SCENIC POINTE DR., STE.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DRAPER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84020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HEALTHEQUITY, INC.</w:t>
              </w:r>
            </w:hyperlink>
            <w:r>
              <w:rPr/>
              <w:t xml:space="preserve"> [ </w:t>
            </w:r>
            <w:r>
              <w:rPr>
                <w:rFonts w:ascii="Times;serif" w:hAnsi="Times;serif"/>
                <w:color w:val="0000FF"/>
                <w:sz w:val="24"/>
                <w:shd w:fill="FFFFFF" w:val="clear"/>
              </w:rPr>
              <w:t>HQY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FOUNDER AND VICE CHAIRMAN</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42"/>
        <w:gridCol w:w="903"/>
        <w:gridCol w:w="773"/>
        <w:gridCol w:w="599"/>
        <w:gridCol w:w="344"/>
        <w:gridCol w:w="830"/>
        <w:gridCol w:w="441"/>
        <w:gridCol w:w="925"/>
        <w:gridCol w:w="1141"/>
        <w:gridCol w:w="981"/>
        <w:gridCol w:w="10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9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4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1,103</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95.0831</w:t>
            </w:r>
            <w:r>
              <w:rPr/>
              <w:t xml:space="preserve"> </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137,565</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409,735</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r>
              <w:rPr/>
              <w:t xml:space="preserve"> </w:t>
            </w:r>
          </w:p>
        </w:tc>
      </w:tr>
      <w:tr>
        <w:trPr/>
        <w:tc>
          <w:tcPr>
            <w:tcW w:w="224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140,000</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224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203,000</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bl>
    <w:tbl>
      <w:tblPr>
        <w:tblW w:w="1184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891"/>
        <w:gridCol w:w="801"/>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41.28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03/27/2027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19,897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19,897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61.72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03/27/2028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14,228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14,228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73.61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03/26/2029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15,337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15,337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held of record by the Stephen and Christine Neeleman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are beneficially owned by the Reporting Person's spouse. The reporting person disclaims beneficial ownership of these securities, and this report shall not be deemed an admission that the Reporting Person is the beneficial owner of the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held of record by Neeleman Family Holdings, LLC ("Family Holdings"), a Utah limited liability company. The reporting person is the manager of Family Holdings. The reporting person disclaims beneficial ownership of the shares held by Family Holdings except to the extent of his pecuniary interest therein and this report shall not be deemed an admission that the reporting person is the beneficial owner of the shares held by Family Holdings for any other purposes.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option is immediately exercisable.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Stephen Neeleman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14838" TargetMode="External"/><Relationship Id="rId5" Type="http://schemas.openxmlformats.org/officeDocument/2006/relationships/hyperlink" Target="http://www.sec.gov/cgi-bin/browse-edgar?action=getcompany&amp;CIK=00014283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765</Words>
  <Characters>4126</Characters>
  <CharactersWithSpaces>4801</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