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jc w:val="center"/>
        <w:ind w:right="-19"/>
        <w:spacing w:after="0"/>
        <w:rPr>
          <w:sz w:val="20"/>
          <w:szCs w:val="20"/>
          <w:color w:val="auto"/>
        </w:rPr>
      </w:pPr>
      <w:r>
        <w:rPr>
          <w:rFonts w:ascii="Arial" w:cs="Arial" w:eastAsia="Arial" w:hAnsi="Arial"/>
          <w:sz w:val="16"/>
          <w:szCs w:val="16"/>
          <w:b w:val="1"/>
          <w:bCs w:val="1"/>
          <w:color w:val="auto"/>
        </w:rPr>
        <w:t>Pursuant to Section 13 or 15(d) of</w:t>
      </w: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46355</wp:posOffset>
            </wp:positionV>
            <wp:extent cx="2785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HEALTHEQUITY, INC.</w:t>
      </w:r>
    </w:p>
    <w:p>
      <w:pPr>
        <w:spacing w:after="0" w:line="200" w:lineRule="exact"/>
        <w:rPr>
          <w:sz w:val="24"/>
          <w:szCs w:val="24"/>
          <w:color w:val="auto"/>
        </w:rPr>
      </w:pPr>
    </w:p>
    <w:p>
      <w:pPr>
        <w:spacing w:after="0" w:line="262"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2960" w:type="dxa"/>
            <w:vAlign w:val="bottom"/>
          </w:tcPr>
          <w:p>
            <w:pPr>
              <w:jc w:val="center"/>
              <w:ind w:right="822"/>
              <w:spacing w:after="0"/>
              <w:rPr>
                <w:sz w:val="20"/>
                <w:szCs w:val="20"/>
                <w:color w:val="auto"/>
              </w:rPr>
            </w:pPr>
            <w:r>
              <w:rPr>
                <w:rFonts w:ascii="Arial" w:cs="Arial" w:eastAsia="Arial" w:hAnsi="Arial"/>
                <w:sz w:val="18"/>
                <w:szCs w:val="18"/>
                <w:b w:val="1"/>
                <w:bCs w:val="1"/>
                <w:color w:val="auto"/>
                <w:w w:val="98"/>
              </w:rPr>
              <w:t>Delaware</w:t>
            </w:r>
          </w:p>
        </w:tc>
        <w:tc>
          <w:tcPr>
            <w:tcW w:w="3800" w:type="dxa"/>
            <w:vAlign w:val="bottom"/>
          </w:tcPr>
          <w:p>
            <w:pPr>
              <w:jc w:val="right"/>
              <w:ind w:right="1459"/>
              <w:spacing w:after="0"/>
              <w:rPr>
                <w:sz w:val="20"/>
                <w:szCs w:val="20"/>
                <w:color w:val="auto"/>
              </w:rPr>
            </w:pPr>
            <w:r>
              <w:rPr>
                <w:rFonts w:ascii="Arial" w:cs="Arial" w:eastAsia="Arial" w:hAnsi="Arial"/>
                <w:sz w:val="18"/>
                <w:szCs w:val="18"/>
                <w:b w:val="1"/>
                <w:bCs w:val="1"/>
                <w:color w:val="auto"/>
              </w:rPr>
              <w:t>001-36568</w:t>
            </w:r>
          </w:p>
        </w:tc>
        <w:tc>
          <w:tcPr>
            <w:tcW w:w="2560" w:type="dxa"/>
            <w:vAlign w:val="bottom"/>
          </w:tcPr>
          <w:p>
            <w:pPr>
              <w:jc w:val="center"/>
              <w:ind w:left="962"/>
              <w:spacing w:after="0"/>
              <w:rPr>
                <w:sz w:val="20"/>
                <w:szCs w:val="20"/>
                <w:color w:val="auto"/>
              </w:rPr>
            </w:pPr>
            <w:r>
              <w:rPr>
                <w:rFonts w:ascii="Arial" w:cs="Arial" w:eastAsia="Arial" w:hAnsi="Arial"/>
                <w:sz w:val="18"/>
                <w:szCs w:val="18"/>
                <w:b w:val="1"/>
                <w:bCs w:val="1"/>
                <w:color w:val="auto"/>
                <w:w w:val="99"/>
              </w:rPr>
              <w:t>52-2383166</w:t>
            </w:r>
          </w:p>
        </w:tc>
        <w:tc>
          <w:tcPr>
            <w:tcW w:w="0" w:type="dxa"/>
            <w:vAlign w:val="bottom"/>
          </w:tcPr>
          <w:p>
            <w:pPr>
              <w:spacing w:after="0"/>
              <w:rPr>
                <w:sz w:val="1"/>
                <w:szCs w:val="1"/>
                <w:color w:val="auto"/>
              </w:rPr>
            </w:pPr>
          </w:p>
        </w:tc>
      </w:tr>
      <w:tr>
        <w:trPr>
          <w:trHeight w:val="144"/>
        </w:trPr>
        <w:tc>
          <w:tcPr>
            <w:tcW w:w="2960" w:type="dxa"/>
            <w:vAlign w:val="bottom"/>
          </w:tcPr>
          <w:p>
            <w:pPr>
              <w:jc w:val="center"/>
              <w:ind w:right="822"/>
              <w:spacing w:after="0" w:line="145" w:lineRule="exact"/>
              <w:rPr>
                <w:sz w:val="20"/>
                <w:szCs w:val="20"/>
                <w:color w:val="auto"/>
              </w:rPr>
            </w:pPr>
            <w:r>
              <w:rPr>
                <w:rFonts w:ascii="Arial" w:cs="Arial" w:eastAsia="Arial" w:hAnsi="Arial"/>
                <w:sz w:val="14"/>
                <w:szCs w:val="14"/>
                <w:b w:val="1"/>
                <w:bCs w:val="1"/>
                <w:color w:val="auto"/>
              </w:rPr>
              <w:t>(State or other jurisdiction of</w:t>
            </w:r>
          </w:p>
        </w:tc>
        <w:tc>
          <w:tcPr>
            <w:tcW w:w="38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rPr>
              <w:t>(Commission File Number)</w:t>
            </w:r>
          </w:p>
        </w:tc>
        <w:tc>
          <w:tcPr>
            <w:tcW w:w="2560" w:type="dxa"/>
            <w:vAlign w:val="bottom"/>
          </w:tcPr>
          <w:p>
            <w:pPr>
              <w:jc w:val="center"/>
              <w:ind w:left="982"/>
              <w:spacing w:after="0" w:line="145"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2960" w:type="dxa"/>
            <w:vAlign w:val="bottom"/>
          </w:tcPr>
          <w:p>
            <w:pPr>
              <w:jc w:val="center"/>
              <w:ind w:right="822"/>
              <w:spacing w:after="0"/>
              <w:rPr>
                <w:sz w:val="20"/>
                <w:szCs w:val="20"/>
                <w:color w:val="auto"/>
              </w:rPr>
            </w:pPr>
            <w:r>
              <w:rPr>
                <w:rFonts w:ascii="Arial" w:cs="Arial" w:eastAsia="Arial" w:hAnsi="Arial"/>
                <w:sz w:val="14"/>
                <w:szCs w:val="14"/>
                <w:b w:val="1"/>
                <w:bCs w:val="1"/>
                <w:color w:val="auto"/>
              </w:rPr>
              <w:t>incorporation or organization)</w:t>
            </w:r>
          </w:p>
        </w:tc>
        <w:tc>
          <w:tcPr>
            <w:tcW w:w="3800" w:type="dxa"/>
            <w:vAlign w:val="bottom"/>
            <w:vMerge w:val="continue"/>
          </w:tcPr>
          <w:p>
            <w:pPr>
              <w:spacing w:after="0"/>
              <w:rPr>
                <w:sz w:val="17"/>
                <w:szCs w:val="17"/>
                <w:color w:val="auto"/>
              </w:rPr>
            </w:pPr>
          </w:p>
        </w:tc>
        <w:tc>
          <w:tcPr>
            <w:tcW w:w="2560" w:type="dxa"/>
            <w:vAlign w:val="bottom"/>
          </w:tcPr>
          <w:p>
            <w:pPr>
              <w:jc w:val="center"/>
              <w:ind w:left="962"/>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15 West Scenic Pointe Drive</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Suite 100</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Draper, Utah 84020</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(801) 727-1000</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Not Applicable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229235</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General Instruction A.2):</w:t>
      </w:r>
    </w:p>
    <w:p>
      <w:pPr>
        <w:spacing w:after="0" w:line="12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210"/>
        </w:trPr>
        <w:tc>
          <w:tcPr>
            <w:tcW w:w="43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2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320" w:type="dxa"/>
            <w:vAlign w:val="bottom"/>
          </w:tcPr>
          <w:p>
            <w:pPr>
              <w:jc w:val="center"/>
              <w:ind w:right="88"/>
              <w:spacing w:after="0"/>
              <w:rPr>
                <w:sz w:val="20"/>
                <w:szCs w:val="20"/>
                <w:color w:val="auto"/>
              </w:rPr>
            </w:pPr>
            <w:r>
              <w:rPr>
                <w:rFonts w:ascii="Arial" w:cs="Arial" w:eastAsia="Arial" w:hAnsi="Arial"/>
                <w:sz w:val="14"/>
                <w:szCs w:val="14"/>
                <w:color w:val="auto"/>
              </w:rPr>
              <w:t>Common stock, par value $0.0001 per share</w:t>
            </w:r>
          </w:p>
        </w:tc>
        <w:tc>
          <w:tcPr>
            <w:tcW w:w="2600" w:type="dxa"/>
            <w:vAlign w:val="bottom"/>
          </w:tcPr>
          <w:p>
            <w:pPr>
              <w:jc w:val="center"/>
              <w:spacing w:after="0"/>
              <w:rPr>
                <w:sz w:val="20"/>
                <w:szCs w:val="20"/>
                <w:color w:val="auto"/>
              </w:rPr>
            </w:pPr>
            <w:r>
              <w:rPr>
                <w:rFonts w:ascii="Arial" w:cs="Arial" w:eastAsia="Arial" w:hAnsi="Arial"/>
                <w:sz w:val="14"/>
                <w:szCs w:val="14"/>
                <w:color w:val="auto"/>
              </w:rPr>
              <w:t>HQY</w:t>
            </w:r>
          </w:p>
        </w:tc>
        <w:tc>
          <w:tcPr>
            <w:tcW w:w="4280" w:type="dxa"/>
            <w:vAlign w:val="bottom"/>
          </w:tcPr>
          <w:p>
            <w:pPr>
              <w:jc w:val="center"/>
              <w:ind w:left="48"/>
              <w:spacing w:after="0"/>
              <w:rPr>
                <w:sz w:val="20"/>
                <w:szCs w:val="20"/>
                <w:color w:val="auto"/>
              </w:rPr>
            </w:pPr>
            <w:r>
              <w:rPr>
                <w:rFonts w:ascii="Arial" w:cs="Arial" w:eastAsia="Arial" w:hAnsi="Arial"/>
                <w:sz w:val="14"/>
                <w:szCs w:val="14"/>
                <w:color w:val="auto"/>
              </w:rPr>
              <w:t>The NASDAQ Global Select Market</w:t>
            </w:r>
          </w:p>
        </w:tc>
      </w:tr>
    </w:tbl>
    <w:p>
      <w:pPr>
        <w:spacing w:after="0" w:line="201" w:lineRule="exact"/>
        <w:rPr>
          <w:sz w:val="24"/>
          <w:szCs w:val="24"/>
          <w:color w:val="auto"/>
        </w:rPr>
      </w:pPr>
    </w:p>
    <w:p>
      <w:pPr>
        <w:ind w:right="360"/>
        <w:spacing w:after="0" w:line="33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 June 3, 2025, HealthEquity, Inc. issued a press release attached as Exhibit 99.1 to this current report on Form 8-K.</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information in Exhibit 99.1 is being furnished to the Securities and Exchange Commission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5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20"/>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19"/>
                <w:szCs w:val="19"/>
                <w:color w:val="auto"/>
              </w:rPr>
            </w:pPr>
          </w:p>
        </w:tc>
        <w:tc>
          <w:tcPr>
            <w:tcW w:w="9720" w:type="dxa"/>
            <w:vAlign w:val="bottom"/>
            <w:gridSpan w:val="4"/>
          </w:tcPr>
          <w:p>
            <w:pPr>
              <w:spacing w:after="0"/>
              <w:rPr>
                <w:sz w:val="20"/>
                <w:szCs w:val="20"/>
                <w:color w:val="auto"/>
              </w:rPr>
            </w:pPr>
            <w:r>
              <w:rPr>
                <w:rFonts w:ascii="Arial" w:cs="Arial" w:eastAsia="Arial" w:hAnsi="Arial"/>
                <w:sz w:val="18"/>
                <w:szCs w:val="18"/>
                <w:color w:val="0000FF"/>
              </w:rPr>
              <w:t>Press release issued by HealthEquity, Inc. dated June 3, 2025, announcing financial results for its fiscal quarter ended</w:t>
            </w: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April 30, 2025.</w:t>
            </w:r>
          </w:p>
        </w:tc>
        <w:tc>
          <w:tcPr>
            <w:tcW w:w="822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r>
      <w:tr>
        <w:trPr>
          <w:trHeight w:val="29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in Inline XBRL)</w:t>
            </w:r>
          </w:p>
        </w:tc>
      </w:tr>
      <w:tr>
        <w:trPr>
          <w:trHeight w:val="1232"/>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7360" w:type="dxa"/>
            <w:vAlign w:val="bottom"/>
            <w:gridSpan w:val="2"/>
          </w:tcPr>
          <w:p>
            <w:pPr>
              <w:ind w:left="2320"/>
              <w:spacing w:after="0"/>
              <w:rPr>
                <w:sz w:val="20"/>
                <w:szCs w:val="20"/>
                <w:color w:val="auto"/>
              </w:rPr>
            </w:pPr>
            <w:r>
              <w:rPr>
                <w:rFonts w:ascii="Arial" w:cs="Arial" w:eastAsia="Arial" w:hAnsi="Arial"/>
                <w:sz w:val="18"/>
                <w:szCs w:val="18"/>
                <w:b w:val="1"/>
                <w:bCs w:val="1"/>
                <w:color w:val="auto"/>
              </w:rPr>
              <w:t>HEALTHEQUITY, INC.</w:t>
            </w:r>
          </w:p>
        </w:tc>
      </w:tr>
      <w:tr>
        <w:trPr>
          <w:trHeight w:val="235"/>
        </w:trPr>
        <w:tc>
          <w:tcPr>
            <w:tcW w:w="3860" w:type="dxa"/>
            <w:vAlign w:val="bottom"/>
          </w:tcPr>
          <w:p>
            <w:pPr>
              <w:spacing w:after="0"/>
              <w:rPr>
                <w:sz w:val="20"/>
                <w:szCs w:val="20"/>
                <w:color w:val="auto"/>
              </w:rPr>
            </w:pPr>
            <w:r>
              <w:rPr>
                <w:rFonts w:ascii="Arial" w:cs="Arial" w:eastAsia="Arial" w:hAnsi="Arial"/>
                <w:sz w:val="18"/>
                <w:szCs w:val="18"/>
                <w:color w:val="auto"/>
              </w:rPr>
              <w:t>Date: June 3, 2025</w:t>
            </w:r>
          </w:p>
        </w:tc>
        <w:tc>
          <w:tcPr>
            <w:tcW w:w="334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Lucania</w:t>
            </w:r>
          </w:p>
        </w:tc>
      </w:tr>
      <w:tr>
        <w:trPr>
          <w:trHeight w:val="218"/>
        </w:trPr>
        <w:tc>
          <w:tcPr>
            <w:tcW w:w="3860" w:type="dxa"/>
            <w:vAlign w:val="bottom"/>
          </w:tcPr>
          <w:p>
            <w:pPr>
              <w:spacing w:after="0"/>
              <w:rPr>
                <w:sz w:val="18"/>
                <w:szCs w:val="18"/>
                <w:color w:val="auto"/>
              </w:rPr>
            </w:pPr>
          </w:p>
        </w:tc>
        <w:tc>
          <w:tcPr>
            <w:tcW w:w="3340" w:type="dxa"/>
            <w:vAlign w:val="bottom"/>
          </w:tcPr>
          <w:p>
            <w:pPr>
              <w:ind w:left="2320"/>
              <w:spacing w:after="0"/>
              <w:rPr>
                <w:sz w:val="20"/>
                <w:szCs w:val="20"/>
                <w:color w:val="auto"/>
              </w:rPr>
            </w:pPr>
            <w:r>
              <w:rPr>
                <w:rFonts w:ascii="Arial" w:cs="Arial" w:eastAsia="Arial" w:hAnsi="Arial"/>
                <w:sz w:val="18"/>
                <w:szCs w:val="18"/>
                <w:color w:val="auto"/>
              </w:rPr>
              <w:t>Name:</w:t>
            </w:r>
          </w:p>
        </w:tc>
        <w:tc>
          <w:tcPr>
            <w:tcW w:w="4020" w:type="dxa"/>
            <w:vAlign w:val="bottom"/>
          </w:tcPr>
          <w:p>
            <w:pPr>
              <w:ind w:left="20"/>
              <w:spacing w:after="0"/>
              <w:rPr>
                <w:sz w:val="20"/>
                <w:szCs w:val="20"/>
                <w:color w:val="auto"/>
              </w:rPr>
            </w:pPr>
            <w:r>
              <w:rPr>
                <w:rFonts w:ascii="Arial" w:cs="Arial" w:eastAsia="Arial" w:hAnsi="Arial"/>
                <w:sz w:val="18"/>
                <w:szCs w:val="18"/>
                <w:color w:val="auto"/>
              </w:rPr>
              <w:t>James Lucania</w:t>
            </w:r>
          </w:p>
        </w:tc>
      </w:tr>
      <w:tr>
        <w:trPr>
          <w:trHeight w:val="189"/>
        </w:trPr>
        <w:tc>
          <w:tcPr>
            <w:tcW w:w="3860" w:type="dxa"/>
            <w:vAlign w:val="bottom"/>
          </w:tcPr>
          <w:p>
            <w:pPr>
              <w:spacing w:after="0"/>
              <w:rPr>
                <w:sz w:val="16"/>
                <w:szCs w:val="16"/>
                <w:color w:val="auto"/>
              </w:rPr>
            </w:pPr>
          </w:p>
        </w:tc>
        <w:tc>
          <w:tcPr>
            <w:tcW w:w="3340" w:type="dxa"/>
            <w:vAlign w:val="bottom"/>
          </w:tcPr>
          <w:p>
            <w:pPr>
              <w:ind w:left="2320"/>
              <w:spacing w:after="0" w:line="189" w:lineRule="exact"/>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w:t>
            </w:r>
          </w:p>
        </w:tc>
      </w:tr>
      <w:tr>
        <w:trPr>
          <w:trHeight w:val="239"/>
        </w:trPr>
        <w:tc>
          <w:tcPr>
            <w:tcW w:w="3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131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HealthEquity Reports First Quarter Ended April 30, 2025 Financial Results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first quarter include:</w:t>
      </w:r>
    </w:p>
    <w:p>
      <w:pPr>
        <w:spacing w:after="0" w:line="11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$330.8 million, an increase of 15% compared to $287.6 million in Q1 FY25.</w:t>
      </w:r>
    </w:p>
    <w:p>
      <w:pPr>
        <w:spacing w:after="0" w:line="27" w:lineRule="exact"/>
        <w:rPr>
          <w:rFonts w:ascii="Arial" w:cs="Arial" w:eastAsia="Arial" w:hAnsi="Arial"/>
          <w:sz w:val="18"/>
          <w:szCs w:val="18"/>
          <w:color w:val="auto"/>
        </w:rPr>
      </w:pPr>
    </w:p>
    <w:p>
      <w:pPr>
        <w:ind w:left="340" w:right="2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$53.9 million, an increase of 87% compared to $28.8 million in Q1 FY25, with non-GAAP net income of $85.8 million, an increase of 22% compared to $70.3 million in Q1 FY25.</w:t>
      </w:r>
    </w:p>
    <w:p>
      <w:pPr>
        <w:ind w:left="340" w:right="12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per diluted share of $0.61, an increase of 85% compared to $0.33 in Q1 FY25, with non-GAAP net income per diluted share of $0.97, an increase of 21% compared to $0.80 in Q1 FY25.</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of $140.2 million, an increase of 19% compared to $117.4 million in Q1 FY25.</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9.9 million HSAs, an increase of 9% compared to Q1 FY25.</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HSA Assets of $31.3 billion, an increase of 15% compared to Q1 FY25.</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17.1 million Total Accounts, including both HSAs and complementary CDBs, an increase of 7% compared to Q1 FY25.</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repurchased 0.7 million shares of its common stock for $60.3 million.</w:t>
      </w:r>
    </w:p>
    <w:p>
      <w:pPr>
        <w:spacing w:after="0" w:line="34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Draper, Utah – June 3, 2025 </w:t>
      </w:r>
      <w:r>
        <w:rPr>
          <w:rFonts w:ascii="Arial" w:cs="Arial" w:eastAsia="Arial" w:hAnsi="Arial"/>
          <w:sz w:val="18"/>
          <w:szCs w:val="18"/>
          <w:color w:val="auto"/>
        </w:rPr>
        <w:t>– HealthEquity, Inc. (NASDAQ: HQY) ("HealthEquity" or the "Company"), the nation's largest health savings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("HSA") custodian by number of accounts, today announced financial results for its first quarter ended April 30, 2025.</w:t>
      </w:r>
    </w:p>
    <w:p>
      <w:pPr>
        <w:spacing w:after="0" w:line="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HealthEquity team started fiscal 2026 with a strong first quarter that included record quarterly revenue, record Adjusted EBITDA, and increased guidance for the year,” said Scott Cutler, President and CEO of HealthEquity. “We enhanced our member-first secure mobile experience to strengthen the security of our members’ $31 billion of HSA Assets, increase member resources, and reduce costs. We also applaud and support the efforts of our nation’s leaders to improve and empower healthcare consumers by expanding the benefits of HSAs, as well as extending eligibility to more American families."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results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for the first quarter ended April 30, 2025 was $330.8 million, an increase of 15% compared to $287.6 million for the first quarter ended April 30, 2024. Revenue this quarter included: service revenue of $119.8 million, custodial revenue of $156.5 million, and interchange revenue of $54.6 million.</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HealthEquity reported net income of $53.9 million, or $0.61 per diluted share, and non-GAAP net income of $ 85.8 million, or $0.97 per diluted share, for the first quarter ended April 30, 2025. The Company reported net income of $ 28.8 million, or $0.33 per diluted share, and non-GAAP net income of $70.3 million, or $0.80 per diluted share, for the first quarter ended April 30, 2024.</w:t>
      </w:r>
    </w:p>
    <w:p>
      <w:pPr>
        <w:spacing w:after="0" w:line="6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Adjusted EBITDA was $ 140.2 million for the first quarter ended April 30, 2025, an increase of 19% compared to the first quarter ended April 30, 2024. Adjusted EBITDA was 42% of revenue, compared to 41% for the first quarter ended April 30,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and asset metrics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HSAs as of April 30, 2025 were 9.9 million, an increase of 9% year over year, including 770,000 HSAs with investments, an increase of 16% year over year. Total Accounts as of April 30, 2025 were 17.1 million, including 7.2 million other consumer-directed benefits ("CDBs").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HSA Assets as of April 30, 2025 were $31.3 billion, an increase of 15% year over year. Total HSA Assets included $ 17.1 billion of HSA cash and $14.2 billion of HSA investments. Client-held funds, which are deposits held on behalf of our Clients to facilitate administration of our CDBs, and from which we generate custodial revenue, were $0.9 billion as of April 30,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17" w:lineRule="exact"/>
        <w:rPr>
          <w:sz w:val="20"/>
          <w:szCs w:val="20"/>
          <w:color w:val="auto"/>
        </w:rPr>
      </w:pPr>
    </w:p>
    <w:p>
      <w:pPr>
        <w:jc w:val="both"/>
        <w:ind w:right="620"/>
        <w:spacing w:after="0" w:line="318" w:lineRule="auto"/>
        <w:rPr>
          <w:sz w:val="20"/>
          <w:szCs w:val="20"/>
          <w:color w:val="auto"/>
        </w:rPr>
      </w:pPr>
      <w:r>
        <w:rPr>
          <w:rFonts w:ascii="Arial" w:cs="Arial" w:eastAsia="Arial" w:hAnsi="Arial"/>
          <w:sz w:val="17"/>
          <w:szCs w:val="17"/>
          <w:color w:val="auto"/>
        </w:rPr>
        <w:t>The Company repurchased 0.7 million shares of its common stock for $ 60.3 million during the first quarter ended April 30, 2025. As of April 30, 2025, $117.5 million of common stock remained authorized for repurchase under the Company's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9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outlook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fiscal year ending January 31, 2026, management expects revenues of $1.285 billion to $1.305 billion. Its outlook for net income is between $ 173 million and $188 million, resulting in net income of $1.96 to $2.13 per diluted share. Its outlook for non-GAAP net income, calculated using the method described below, is between $ 320 million and $335 million, resulting in non-GAAP net income per diluted share of $3.61 to $3.78 (based on an estimated 89 million diluted weighted-average shares outstanding). Management expects Adjusted EBITDA of $530 million to $550 million.</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“Non-GAAP financial information” below for definitions of our Adjusted EBITDA and non-GAAP net income. A reconciliation of the non-GAAP financial measures used throughout this release to the most comparable GAAP financial measures is included with the financial tables at the end of this release.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HealthEquity management will host a conference call at 4:30 pm (Eastern Time) on Tuesday, June 3, 2025 to discuss the fiscal 2026 first quarter financial results. The conference call will be accessible by dialing 1-833-630-1956, or 1-412-317-1837 for international callers, and referencing conference ID "HealthEquity." A live audio webcast of the call will be available on the investor relations section of our website at http://ir.healthequity.com.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supplement our financial information presented on a GAAP basis, we disclose non-GAAP financial measures, including Adjusted EBITDA, non-GAAP net income, and non-GAAP net income per diluted share.</w:t>
      </w:r>
    </w:p>
    <w:p>
      <w:pPr>
        <w:spacing w:after="0" w:line="45" w:lineRule="exact"/>
        <w:rPr>
          <w:sz w:val="20"/>
          <w:szCs w:val="20"/>
          <w:color w:val="auto"/>
        </w:rPr>
      </w:pPr>
    </w:p>
    <w:p>
      <w:pPr>
        <w:jc w:val="both"/>
        <w:ind w:left="660" w:right="8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is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spacing w:after="0" w:line="44" w:lineRule="exact"/>
        <w:rPr>
          <w:rFonts w:ascii="Arial" w:cs="Arial" w:eastAsia="Arial" w:hAnsi="Arial"/>
          <w:sz w:val="17"/>
          <w:szCs w:val="17"/>
          <w:color w:val="auto"/>
        </w:rPr>
      </w:pPr>
    </w:p>
    <w:p>
      <w:pPr>
        <w:ind w:left="660" w:right="4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w:t>
      </w:r>
    </w:p>
    <w:p>
      <w:pPr>
        <w:spacing w:after="0" w:line="68"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per diluted share is calculated by dividing non-GAAP net income by diluted weighted-average shares outstanding.</w:t>
      </w:r>
    </w:p>
    <w:p>
      <w:pPr>
        <w:spacing w:after="0" w:line="4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The Company cautions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net income,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HealthEquity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HealthEquity and its subsidiaries administer HSAs and other consumer-directed benefits for more than 17 million accounts in partnership with employers, benefits advisors, and health and retirement plan providers who share our mission to save and improve lives by empowering healthcare consumers. For more information, visit www.healthequity.com.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press release contains “forward-looking statements” within the meaning of the “safe harbor” provisions of the Private Securities Litigation Reform Act of 1995, including but not limited to, statements regarding our industry, business strategy, plans, goals and expectations concerning our markets and market position, product expansion, future operations, expenses and other results of operations, revenue, margins, profitability, acquisition synergies, future efficiencies, tax rates, capital expenditures, liquidity and capital resources and other financial and operating information.</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201" w:right="339" w:bottom="1440" w:gutter="0" w:footer="0" w:header="0"/>
          <w:type w:val="continuous"/>
        </w:sectPr>
      </w:pPr>
    </w:p>
    <w:bookmarkStart w:id="5" w:name="page6"/>
    <w:bookmarkEnd w:id="5"/>
    <w:p>
      <w:pPr>
        <w:ind w:right="40"/>
        <w:spacing w:after="0" w:line="268" w:lineRule="auto"/>
        <w:rPr>
          <w:sz w:val="20"/>
          <w:szCs w:val="20"/>
          <w:color w:val="auto"/>
        </w:rPr>
      </w:pPr>
      <w:r>
        <w:rPr>
          <w:rFonts w:ascii="Arial" w:cs="Arial" w:eastAsia="Arial" w:hAnsi="Arial"/>
          <w:sz w:val="18"/>
          <w:szCs w:val="18"/>
          <w:color w:val="auto"/>
        </w:rPr>
        <w:t>When used in this discussion, the words “may,” “believes,” “intends,” “seeks,” “aims,” “anticipates,” “plans,” “estimates,” “expects,” “should,” “assumes,” “continues,” “could,” “will,” “future” and the negative of these or similar terms and phrases are intended to identify forward-looking statements in this press release.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risks related to the following:</w:t>
      </w:r>
    </w:p>
    <w:p>
      <w:pPr>
        <w:spacing w:after="0" w:line="74" w:lineRule="exact"/>
        <w:rPr>
          <w:sz w:val="20"/>
          <w:szCs w:val="20"/>
          <w:color w:val="auto"/>
        </w:rPr>
      </w:pPr>
    </w:p>
    <w:p>
      <w:pPr>
        <w:ind w:left="660" w:right="50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place and safeguard our custodial assets, or the failure of any of our depository or insurance company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in a rapidly evolving healthcare and benefits administration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the continued availability and benefits of tax-advantaged HSAs and other CDBs;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our recent CEO transition;</w:t>
      </w:r>
    </w:p>
    <w:p>
      <w:pPr>
        <w:spacing w:after="0" w:line="63" w:lineRule="exact"/>
        <w:rPr>
          <w:rFonts w:ascii="Arial" w:cs="Arial" w:eastAsia="Arial" w:hAnsi="Arial"/>
          <w:sz w:val="18"/>
          <w:szCs w:val="18"/>
          <w:color w:val="auto"/>
        </w:rPr>
      </w:pPr>
    </w:p>
    <w:p>
      <w:pPr>
        <w:ind w:left="660" w:right="68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increased fraudulent account activity involving our member accounts or our third-party service providers on our reputation and financial results;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additional portfolio purchases or acquisition targets;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competition we face and may face in the future, including from those with greater resources than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availability and performance of our technology and communications systems;</w:t>
      </w:r>
    </w:p>
    <w:p>
      <w:pPr>
        <w:spacing w:after="0" w:line="63"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recent and potential future cybersecurity breaches of our technology and communications systems and other data interruptions, including resulting costs and liabilities, reputational damage and loss of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uncertain healthcare environment, including changes in healthcare programs and expenditures and related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regulatory changes and changes in the enforcement environment under the new U.S. administration;</w:t>
      </w:r>
    </w:p>
    <w:p>
      <w:pPr>
        <w:spacing w:after="0" w:line="63" w:lineRule="exact"/>
        <w:rPr>
          <w:rFonts w:ascii="Arial" w:cs="Arial" w:eastAsia="Arial" w:hAnsi="Arial"/>
          <w:sz w:val="18"/>
          <w:szCs w:val="18"/>
          <w:color w:val="auto"/>
        </w:rPr>
      </w:pPr>
    </w:p>
    <w:p>
      <w:pPr>
        <w:ind w:left="660" w:right="42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current and future privacy, healthcare, tax, ERISA, investment adviser and other laws applicable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partners and third-party vendors for distribution and important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implement updated features for our technology platforms and communications systems;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management team and key team members.</w:t>
      </w:r>
    </w:p>
    <w:p>
      <w:pPr>
        <w:spacing w:after="0" w:line="117"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For a detailed discussion of these and other risk factors, please refer to the risks detailed in our filings with the Securities and Exchange Commission, including, without limitation, our Annual Report on Form 10-K for the fiscal year ended January 31, 2025 and subsequent periodic and current reports. Past performance is not necessarily indicative of future results. We undertake no intention or obligation to update or revise any forward-looking statements, whether as a result of new information, future events or otherwise. Forward-looking statements should not be relied upon as representing our views as of any date subsequent to the date of this press release.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Richard Putnam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801-727-1000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rputnam@healthequity.com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20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5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April 30, 2025</w:t>
            </w: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197"/>
        </w:trPr>
        <w:tc>
          <w:tcPr>
            <w:tcW w:w="7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(unaudited)</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287,894</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295,948</w:t>
            </w:r>
          </w:p>
        </w:tc>
        <w:tc>
          <w:tcPr>
            <w:tcW w:w="0" w:type="dxa"/>
            <w:vAlign w:val="bottom"/>
          </w:tcPr>
          <w:p>
            <w:pPr>
              <w:spacing w:after="0"/>
              <w:rPr>
                <w:sz w:val="1"/>
                <w:szCs w:val="1"/>
                <w:color w:val="auto"/>
              </w:rPr>
            </w:pPr>
          </w:p>
        </w:tc>
      </w:tr>
      <w:tr>
        <w:trPr>
          <w:trHeight w:val="157"/>
        </w:trPr>
        <w:tc>
          <w:tcPr>
            <w:tcW w:w="73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Accounts receivable, net of allowance for doubtful accounts of $1,041 and $2,070 as of April 30, 2025 and</w:t>
            </w:r>
          </w:p>
        </w:tc>
        <w:tc>
          <w:tcPr>
            <w:tcW w:w="5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116,256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118,006</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 2025, respectively</w:t>
            </w:r>
          </w:p>
        </w:tc>
        <w:tc>
          <w:tcPr>
            <w:tcW w:w="5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68,646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63,795</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472,796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477,749</w:t>
            </w:r>
          </w:p>
        </w:tc>
        <w:tc>
          <w:tcPr>
            <w:tcW w:w="0" w:type="dxa"/>
            <w:vAlign w:val="bottom"/>
          </w:tcPr>
          <w:p>
            <w:pPr>
              <w:spacing w:after="0"/>
              <w:rPr>
                <w:sz w:val="1"/>
                <w:szCs w:val="1"/>
                <w:color w:val="auto"/>
              </w:rPr>
            </w:pPr>
          </w:p>
        </w:tc>
      </w:tr>
      <w:tr>
        <w:trPr>
          <w:trHeight w:val="192"/>
        </w:trPr>
        <w:tc>
          <w:tcPr>
            <w:tcW w:w="734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3,173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3,239</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43,185</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1,179,430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1,204,658</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1,648,145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1,648,145</w:t>
            </w:r>
          </w:p>
        </w:tc>
        <w:tc>
          <w:tcPr>
            <w:tcW w:w="0" w:type="dxa"/>
            <w:vAlign w:val="bottom"/>
          </w:tcPr>
          <w:p>
            <w:pPr>
              <w:spacing w:after="0"/>
              <w:rPr>
                <w:sz w:val="1"/>
                <w:szCs w:val="1"/>
                <w:color w:val="auto"/>
              </w:rPr>
            </w:pP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5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71,283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71,574</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3,416,273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3,448,550</w:t>
            </w:r>
          </w:p>
        </w:tc>
        <w:tc>
          <w:tcPr>
            <w:tcW w:w="0" w:type="dxa"/>
            <w:vAlign w:val="bottom"/>
          </w:tcPr>
          <w:p>
            <w:pPr>
              <w:spacing w:after="0"/>
              <w:rPr>
                <w:sz w:val="1"/>
                <w:szCs w:val="1"/>
                <w:color w:val="auto"/>
              </w:rPr>
            </w:pPr>
          </w:p>
        </w:tc>
      </w:tr>
      <w:tr>
        <w:trPr>
          <w:trHeight w:val="182"/>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13,496</w:t>
            </w:r>
          </w:p>
        </w:tc>
        <w:tc>
          <w:tcPr>
            <w:tcW w:w="10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14,361</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compensation</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69,330</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68,444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62,631</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9,969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192"/>
        </w:trPr>
        <w:tc>
          <w:tcPr>
            <w:tcW w:w="734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5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116,342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156,323</w:t>
            </w: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140"/>
              <w:spacing w:after="0"/>
              <w:rPr>
                <w:sz w:val="20"/>
                <w:szCs w:val="20"/>
                <w:color w:val="auto"/>
              </w:rPr>
            </w:pPr>
            <w:r>
              <w:rPr>
                <w:rFonts w:ascii="Arial" w:cs="Arial" w:eastAsia="Arial" w:hAnsi="Arial"/>
                <w:sz w:val="14"/>
                <w:szCs w:val="14"/>
                <w:color w:val="auto"/>
              </w:rPr>
              <w:t>Long-term debt, net of issuance costs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1,056,566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1,056,301</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non-current</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w:t>
            </w: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22,178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22,962</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liability</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55,834</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long-term liabilities</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1,176,125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1,177,316</w:t>
            </w: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1,292,467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1,333,639</w:t>
            </w:r>
          </w:p>
        </w:tc>
        <w:tc>
          <w:tcPr>
            <w:tcW w:w="0" w:type="dxa"/>
            <w:vAlign w:val="bottom"/>
          </w:tcPr>
          <w:p>
            <w:pPr>
              <w:spacing w:after="0"/>
              <w:rPr>
                <w:sz w:val="1"/>
                <w:szCs w:val="1"/>
                <w:color w:val="auto"/>
              </w:rPr>
            </w:pPr>
          </w:p>
        </w:tc>
      </w:tr>
      <w:tr>
        <w:trPr>
          <w:trHeight w:val="199"/>
        </w:trPr>
        <w:tc>
          <w:tcPr>
            <w:tcW w:w="73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340" w:type="dxa"/>
            <w:vAlign w:val="bottom"/>
          </w:tcPr>
          <w:p>
            <w:pPr>
              <w:ind w:left="140"/>
              <w:spacing w:after="0" w:line="153" w:lineRule="exact"/>
              <w:rPr>
                <w:sz w:val="20"/>
                <w:szCs w:val="20"/>
                <w:color w:val="auto"/>
              </w:rPr>
            </w:pPr>
            <w:r>
              <w:rPr>
                <w:rFonts w:ascii="Arial" w:cs="Arial" w:eastAsia="Arial" w:hAnsi="Arial"/>
                <w:sz w:val="14"/>
                <w:szCs w:val="14"/>
                <w:color w:val="auto"/>
              </w:rPr>
              <w:t>Preferred stock, $0.0001 par value, 100,000 shares authorized, no shares issued and outstanding as of April 30,</w:t>
            </w:r>
          </w:p>
        </w:tc>
        <w:tc>
          <w:tcPr>
            <w:tcW w:w="5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340" w:type="dxa"/>
            <w:vAlign w:val="bottom"/>
          </w:tcPr>
          <w:p>
            <w:pPr>
              <w:ind w:left="140"/>
              <w:spacing w:after="0"/>
              <w:rPr>
                <w:sz w:val="20"/>
                <w:szCs w:val="20"/>
                <w:color w:val="auto"/>
              </w:rPr>
            </w:pPr>
            <w:r>
              <w:rPr>
                <w:rFonts w:ascii="Arial" w:cs="Arial" w:eastAsia="Arial" w:hAnsi="Arial"/>
                <w:sz w:val="14"/>
                <w:szCs w:val="14"/>
                <w:color w:val="auto"/>
              </w:rPr>
              <w:t>2025 and January 31, 2025, respectively</w:t>
            </w:r>
          </w:p>
        </w:tc>
        <w:tc>
          <w:tcPr>
            <w:tcW w:w="5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3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$0.0001 par value, 900,000 shares authorized, 86,714 and 86,536 shares issued and</w:t>
            </w:r>
          </w:p>
        </w:tc>
        <w:tc>
          <w:tcPr>
            <w:tcW w:w="5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 as of April 30, 2025 and January 31, 2025, respectively</w:t>
            </w:r>
          </w:p>
        </w:tc>
        <w:tc>
          <w:tcPr>
            <w:tcW w:w="5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1,905,444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1,905,628</w:t>
            </w:r>
          </w:p>
        </w:tc>
        <w:tc>
          <w:tcPr>
            <w:tcW w:w="0" w:type="dxa"/>
            <w:vAlign w:val="bottom"/>
          </w:tcPr>
          <w:p>
            <w:pPr>
              <w:spacing w:after="0"/>
              <w:rPr>
                <w:sz w:val="1"/>
                <w:szCs w:val="1"/>
                <w:color w:val="auto"/>
              </w:rPr>
            </w:pP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earnings</w:t>
            </w:r>
          </w:p>
        </w:tc>
        <w:tc>
          <w:tcPr>
            <w:tcW w:w="5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218,353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209,274</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2,123,806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2,114,911</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3,416,273</w:t>
            </w: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3,448,550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6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Service revenue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119,784</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118,214</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Custodial 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156,455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121,644</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Interchange revenue</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47,739</w:t>
            </w:r>
          </w:p>
        </w:tc>
      </w:tr>
      <w:tr>
        <w:trPr>
          <w:trHeight w:val="200"/>
        </w:trPr>
        <w:tc>
          <w:tcPr>
            <w:tcW w:w="7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330,844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287,597</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82,347</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Custodial costs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10,747</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9,057</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Interchange costs</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7,781</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9,055</w:t>
            </w:r>
          </w:p>
        </w:tc>
      </w:tr>
      <w:tr>
        <w:trPr>
          <w:trHeight w:val="192"/>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cost of revenue</w:t>
            </w: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106,533</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100,459</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224,311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187,138</w:t>
            </w:r>
          </w:p>
        </w:tc>
      </w:tr>
      <w:tr>
        <w:trPr>
          <w:trHeight w:val="199"/>
        </w:trPr>
        <w:tc>
          <w:tcPr>
            <w:tcW w:w="73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23,494</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Technology and development</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61,436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56,090</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38,236</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25,545</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r>
      <w:tr>
        <w:trPr>
          <w:trHeight w:val="192"/>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operating expenses</w:t>
            </w: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141,233</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145,508</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83,078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41,630</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(11,795)</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 net</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3,404</w:t>
            </w:r>
          </w:p>
        </w:tc>
      </w:tr>
      <w:tr>
        <w:trPr>
          <w:trHeight w:val="200"/>
        </w:trPr>
        <w:tc>
          <w:tcPr>
            <w:tcW w:w="73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other expense</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(8,391)</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70,953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33,239</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17,038</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4,426</w:t>
            </w:r>
          </w:p>
        </w:tc>
      </w:tr>
      <w:tr>
        <w:trPr>
          <w:trHeight w:val="192"/>
        </w:trPr>
        <w:tc>
          <w:tcPr>
            <w:tcW w:w="7340" w:type="dxa"/>
            <w:vAlign w:val="bottom"/>
          </w:tcPr>
          <w:p>
            <w:pPr>
              <w:ind w:left="240"/>
              <w:spacing w:after="0"/>
              <w:rPr>
                <w:sz w:val="20"/>
                <w:szCs w:val="20"/>
                <w:color w:val="auto"/>
              </w:rPr>
            </w:pPr>
            <w:r>
              <w:rPr>
                <w:rFonts w:ascii="Arial" w:cs="Arial" w:eastAsia="Arial" w:hAnsi="Arial"/>
                <w:sz w:val="14"/>
                <w:szCs w:val="14"/>
                <w:color w:val="auto"/>
              </w:rPr>
              <w:t>Net income and comprehensive income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53,915</w:t>
            </w:r>
          </w:p>
        </w:tc>
        <w:tc>
          <w:tcPr>
            <w:tcW w:w="100" w:type="dxa"/>
            <w:vAlign w:val="bottom"/>
          </w:tcPr>
          <w:p>
            <w:pPr>
              <w:spacing w:after="0"/>
              <w:rPr>
                <w:sz w:val="16"/>
                <w:szCs w:val="16"/>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28,813</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Basic</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0.33</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86,472</w:t>
            </w:r>
          </w:p>
        </w:tc>
      </w:tr>
      <w:tr>
        <w:trPr>
          <w:trHeight w:val="198"/>
        </w:trPr>
        <w:tc>
          <w:tcPr>
            <w:tcW w:w="7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Diluted</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88,415</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6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53,915</w:t>
            </w:r>
          </w:p>
        </w:tc>
        <w:tc>
          <w:tcPr>
            <w:tcW w:w="10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28,813</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38,741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38,938</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32,020</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debt discount and issuance costs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703</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taxes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(5,388)</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 net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w:t>
            </w: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(5,702)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Operating lease right-of-use assets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Accrued compensation</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(42,210)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(25,757)</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accrued liabilities, and other current liabilities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w:t>
            </w:r>
          </w:p>
        </w:tc>
      </w:tr>
      <w:tr>
        <w:trPr>
          <w:trHeight w:val="198"/>
        </w:trPr>
        <w:tc>
          <w:tcPr>
            <w:tcW w:w="7340" w:type="dxa"/>
            <w:vAlign w:val="bottom"/>
          </w:tcPr>
          <w:p>
            <w:pPr>
              <w:ind w:left="260"/>
              <w:spacing w:after="0"/>
              <w:rPr>
                <w:sz w:val="20"/>
                <w:szCs w:val="20"/>
                <w:color w:val="auto"/>
              </w:rPr>
            </w:pPr>
            <w:r>
              <w:rPr>
                <w:rFonts w:ascii="Arial" w:cs="Arial" w:eastAsia="Arial" w:hAnsi="Arial"/>
                <w:sz w:val="14"/>
                <w:szCs w:val="14"/>
                <w:color w:val="auto"/>
              </w:rPr>
              <w:t>Operating lease liabilities, non-current</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(1,745)</w:t>
            </w:r>
          </w:p>
        </w:tc>
      </w:tr>
      <w:tr>
        <w:trPr>
          <w:trHeight w:val="207"/>
        </w:trPr>
        <w:tc>
          <w:tcPr>
            <w:tcW w:w="73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long-term liabilities</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64,738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65,429</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Purchases of software and capitalized software development costs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(16,057)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(13,106)</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Acquisitions of HSA portfolios</w:t>
            </w:r>
          </w:p>
        </w:tc>
        <w:tc>
          <w:tcPr>
            <w:tcW w:w="7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(256,123)</w:t>
            </w:r>
          </w:p>
        </w:tc>
      </w:tr>
      <w:tr>
        <w:trPr>
          <w:trHeight w:val="20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7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(16,143)</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(269,950)</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Proceeds from long-term debt</w:t>
            </w:r>
          </w:p>
        </w:tc>
        <w:tc>
          <w:tcPr>
            <w:tcW w:w="7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of client-held funds obligation, net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exercise of common stock options</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(56,649)</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51,771</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(8,054)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(152,750)</w:t>
            </w: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cash and cash equivalents</w:t>
            </w:r>
          </w:p>
        </w:tc>
        <w:tc>
          <w:tcPr>
            <w:tcW w:w="7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295,948</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403,979</w:t>
            </w:r>
          </w:p>
        </w:tc>
      </w:tr>
      <w:tr>
        <w:trPr>
          <w:trHeight w:val="19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cash and cash equivalents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287,894</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HealthEquity,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 (continued)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cash flow data:</w:t>
            </w: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rPr>
                <w:sz w:val="20"/>
                <w:szCs w:val="20"/>
                <w:color w:val="auto"/>
              </w:rPr>
            </w:pPr>
            <w:r>
              <w:rPr>
                <w:rFonts w:ascii="Arial" w:cs="Arial" w:eastAsia="Arial" w:hAnsi="Arial"/>
                <w:sz w:val="14"/>
                <w:szCs w:val="14"/>
                <w:color w:val="auto"/>
              </w:rPr>
              <w:t>Interest expense paid in cash</w:t>
            </w:r>
          </w:p>
        </w:tc>
        <w:tc>
          <w:tcPr>
            <w:tcW w:w="9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20,809</w:t>
            </w:r>
          </w:p>
        </w:tc>
        <w:tc>
          <w:tcPr>
            <w:tcW w:w="8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18,850</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payments (refunds), net</w:t>
            </w: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8"/>
        </w:trPr>
        <w:tc>
          <w:tcPr>
            <w:tcW w:w="712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1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Purchases of software and capitalized software development costs included in accounts payable, accrued</w:t>
            </w:r>
          </w:p>
        </w:tc>
        <w:tc>
          <w:tcPr>
            <w:tcW w:w="9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2,774</w:t>
            </w:r>
          </w:p>
        </w:tc>
        <w:tc>
          <w:tcPr>
            <w:tcW w:w="8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185"/>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liabilities, or accrued compensation</w:t>
            </w:r>
          </w:p>
        </w:tc>
        <w:tc>
          <w:tcPr>
            <w:tcW w:w="9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20" w:type="dxa"/>
            <w:vAlign w:val="bottom"/>
          </w:tcPr>
          <w:p>
            <w:pPr>
              <w:ind w:left="140"/>
              <w:spacing w:after="0"/>
              <w:rPr>
                <w:sz w:val="20"/>
                <w:szCs w:val="20"/>
                <w:color w:val="auto"/>
              </w:rPr>
            </w:pPr>
            <w:r>
              <w:rPr>
                <w:rFonts w:ascii="Arial" w:cs="Arial" w:eastAsia="Arial" w:hAnsi="Arial"/>
                <w:sz w:val="14"/>
                <w:szCs w:val="14"/>
                <w:color w:val="auto"/>
              </w:rPr>
              <w:t>Purchases of property and equipment included in accounts payable or accrued liabilities</w:t>
            </w:r>
          </w:p>
        </w:tc>
        <w:tc>
          <w:tcPr>
            <w:tcW w:w="9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 of common stock included in accrued liabilities</w:t>
            </w:r>
          </w:p>
        </w:tc>
        <w:tc>
          <w:tcPr>
            <w:tcW w:w="9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7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Exercise of common stock options receivable</w:t>
            </w:r>
          </w:p>
        </w:tc>
        <w:tc>
          <w:tcPr>
            <w:tcW w:w="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 (unaudited)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stock-based compensation expense included in the condensed consolidated statements of operations and comprehensive income is as follows:</w:t>
      </w:r>
    </w:p>
    <w:tbl>
      <w:tblPr>
        <w:tblLayout w:type="fixed"/>
        <w:tblInd w:w="0" w:type="dxa"/>
        <w:tblCellMar>
          <w:top w:w="0" w:type="dxa"/>
          <w:left w:w="0" w:type="dxa"/>
          <w:bottom w:w="0" w:type="dxa"/>
          <w:right w:w="0" w:type="dxa"/>
        </w:tblCellMar>
      </w:tblPr>
      <w:tr>
        <w:trPr>
          <w:trHeight w:val="194"/>
        </w:trPr>
        <w:tc>
          <w:tcPr>
            <w:tcW w:w="7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w:t>
            </w:r>
          </w:p>
        </w:tc>
      </w:tr>
      <w:tr>
        <w:trPr>
          <w:trHeight w:val="198"/>
        </w:trPr>
        <w:tc>
          <w:tcPr>
            <w:tcW w:w="73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4,870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4,323</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and development</w:t>
            </w: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5,940</w:t>
            </w: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17,232</w:t>
            </w:r>
          </w:p>
        </w:tc>
      </w:tr>
      <w:tr>
        <w:trPr>
          <w:trHeight w:val="196"/>
        </w:trPr>
        <w:tc>
          <w:tcPr>
            <w:tcW w:w="7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Total stock-based compensation expense</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900" w:type="dxa"/>
            <w:vAlign w:val="bottom"/>
            <w:tcBorders>
              <w:bottom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32,020</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Accounts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6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April 30, 2025</w:t>
            </w:r>
          </w:p>
        </w:tc>
        <w:tc>
          <w:tcPr>
            <w:tcW w:w="17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April 30, 2024</w:t>
            </w:r>
          </w:p>
        </w:tc>
        <w:tc>
          <w:tcPr>
            <w:tcW w:w="13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2025</w:t>
            </w:r>
          </w:p>
        </w:tc>
      </w:tr>
      <w:tr>
        <w:trPr>
          <w:trHeight w:val="19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9,886</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9,097</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9,889</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color w:val="auto"/>
              </w:rPr>
              <w:t>New HSAs from sales - Quarter-to-date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150</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194</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138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HSAs from sales - Year-to-date</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150</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194</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color w:val="auto"/>
              </w:rPr>
              <w:t>New HSAs from acquisitions - Year-to-date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400</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HSAs with investments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770</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665</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color w:val="auto"/>
              </w:rPr>
              <w:t>CDBs</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7,174</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6,913</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4 %</w:t>
            </w:r>
          </w:p>
        </w:tc>
        <w:tc>
          <w:tcPr>
            <w:tcW w:w="1380" w:type="dxa"/>
            <w:vAlign w:val="bottom"/>
          </w:tcPr>
          <w:p>
            <w:pPr>
              <w:jc w:val="right"/>
              <w:spacing w:after="0"/>
              <w:rPr>
                <w:sz w:val="20"/>
                <w:szCs w:val="20"/>
                <w:color w:val="auto"/>
              </w:rPr>
            </w:pPr>
            <w:r>
              <w:rPr>
                <w:rFonts w:ascii="Arial" w:cs="Arial" w:eastAsia="Arial" w:hAnsi="Arial"/>
                <w:sz w:val="14"/>
                <w:szCs w:val="14"/>
                <w:color w:val="auto"/>
              </w:rPr>
              <w:t>7,144</w:t>
            </w:r>
          </w:p>
        </w:tc>
      </w:tr>
      <w:tr>
        <w:trPr>
          <w:trHeight w:val="207"/>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Accounts</w:t>
            </w:r>
          </w:p>
        </w:tc>
        <w:tc>
          <w:tcPr>
            <w:tcW w:w="26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17,060</w:t>
            </w:r>
          </w:p>
        </w:tc>
        <w:tc>
          <w:tcPr>
            <w:tcW w:w="17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16,010</w:t>
            </w:r>
          </w:p>
        </w:tc>
        <w:tc>
          <w:tcPr>
            <w:tcW w:w="1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7 %</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17,033</w:t>
            </w:r>
          </w:p>
        </w:tc>
      </w:tr>
      <w:tr>
        <w:trPr>
          <w:trHeight w:val="198"/>
        </w:trPr>
        <w:tc>
          <w:tcPr>
            <w:tcW w:w="4120" w:type="dxa"/>
            <w:vAlign w:val="bottom"/>
          </w:tcPr>
          <w:p>
            <w:pPr>
              <w:ind w:left="20"/>
              <w:spacing w:after="0"/>
              <w:rPr>
                <w:sz w:val="20"/>
                <w:szCs w:val="20"/>
                <w:color w:val="auto"/>
              </w:rPr>
            </w:pPr>
            <w:r>
              <w:rPr>
                <w:rFonts w:ascii="Arial" w:cs="Arial" w:eastAsia="Arial" w:hAnsi="Arial"/>
                <w:sz w:val="14"/>
                <w:szCs w:val="14"/>
                <w:color w:val="auto"/>
              </w:rPr>
              <w:t>Average Total Accounts - Quarter-to-date</w:t>
            </w:r>
          </w:p>
        </w:tc>
        <w:tc>
          <w:tcPr>
            <w:tcW w:w="2620" w:type="dxa"/>
            <w:vAlign w:val="bottom"/>
          </w:tcPr>
          <w:p>
            <w:pPr>
              <w:jc w:val="right"/>
              <w:ind w:right="288"/>
              <w:spacing w:after="0"/>
              <w:rPr>
                <w:sz w:val="20"/>
                <w:szCs w:val="20"/>
                <w:color w:val="auto"/>
              </w:rPr>
            </w:pPr>
            <w:r>
              <w:rPr>
                <w:rFonts w:ascii="Arial" w:cs="Arial" w:eastAsia="Arial" w:hAnsi="Arial"/>
                <w:sz w:val="14"/>
                <w:szCs w:val="14"/>
                <w:color w:val="auto"/>
              </w:rPr>
              <w:t>17,122</w:t>
            </w:r>
          </w:p>
        </w:tc>
        <w:tc>
          <w:tcPr>
            <w:tcW w:w="1740" w:type="dxa"/>
            <w:vAlign w:val="bottom"/>
          </w:tcPr>
          <w:p>
            <w:pPr>
              <w:jc w:val="right"/>
              <w:ind w:right="468"/>
              <w:spacing w:after="0"/>
              <w:rPr>
                <w:sz w:val="20"/>
                <w:szCs w:val="20"/>
                <w:color w:val="auto"/>
              </w:rPr>
            </w:pPr>
            <w:r>
              <w:rPr>
                <w:rFonts w:ascii="Arial" w:cs="Arial" w:eastAsia="Arial" w:hAnsi="Arial"/>
                <w:sz w:val="14"/>
                <w:szCs w:val="14"/>
                <w:color w:val="auto"/>
              </w:rPr>
              <w:t>15,919</w:t>
            </w:r>
          </w:p>
        </w:tc>
        <w:tc>
          <w:tcPr>
            <w:tcW w:w="1380" w:type="dxa"/>
            <w:vAlign w:val="bottom"/>
          </w:tcPr>
          <w:p>
            <w:pPr>
              <w:jc w:val="right"/>
              <w:ind w:right="128"/>
              <w:spacing w:after="0"/>
              <w:rPr>
                <w:sz w:val="20"/>
                <w:szCs w:val="20"/>
                <w:color w:val="auto"/>
              </w:rPr>
            </w:pPr>
            <w:r>
              <w:rPr>
                <w:rFonts w:ascii="Arial" w:cs="Arial" w:eastAsia="Arial" w:hAnsi="Arial"/>
                <w:sz w:val="14"/>
                <w:szCs w:val="14"/>
                <w:color w:val="auto"/>
              </w:rPr>
              <w:t>8 %</w:t>
            </w:r>
          </w:p>
        </w:tc>
        <w:tc>
          <w:tcPr>
            <w:tcW w:w="1380" w:type="dxa"/>
            <w:vAlign w:val="bottom"/>
          </w:tcPr>
          <w:p>
            <w:pPr>
              <w:jc w:val="right"/>
              <w:spacing w:after="0"/>
              <w:rPr>
                <w:sz w:val="20"/>
                <w:szCs w:val="20"/>
                <w:color w:val="auto"/>
              </w:rPr>
            </w:pPr>
            <w:r>
              <w:rPr>
                <w:rFonts w:ascii="Arial" w:cs="Arial" w:eastAsia="Arial" w:hAnsi="Arial"/>
                <w:sz w:val="14"/>
                <w:szCs w:val="14"/>
                <w:color w:val="auto"/>
              </w:rPr>
              <w:t>16,677</w:t>
            </w:r>
          </w:p>
        </w:tc>
      </w:tr>
      <w:tr>
        <w:trPr>
          <w:trHeight w:val="203"/>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Total Accounts - Year-to-date</w:t>
            </w:r>
          </w:p>
        </w:tc>
        <w:tc>
          <w:tcPr>
            <w:tcW w:w="262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17,122</w:t>
            </w:r>
          </w:p>
        </w:tc>
        <w:tc>
          <w:tcPr>
            <w:tcW w:w="17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15,919</w:t>
            </w:r>
          </w:p>
        </w:tc>
        <w:tc>
          <w:tcPr>
            <w:tcW w:w="13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16,302</w:t>
            </w:r>
          </w:p>
        </w:tc>
      </w:tr>
      <w:tr>
        <w:trPr>
          <w:trHeight w:val="333"/>
        </w:trPr>
        <w:tc>
          <w:tcPr>
            <w:tcW w:w="4120" w:type="dxa"/>
            <w:vAlign w:val="bottom"/>
          </w:tcPr>
          <w:p>
            <w:pP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Not meaningful</w:t>
            </w:r>
          </w:p>
        </w:tc>
        <w:tc>
          <w:tcPr>
            <w:tcW w:w="2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HSA Assets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April 30, 2025</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30, 2024</w:t>
            </w:r>
          </w:p>
        </w:tc>
        <w:tc>
          <w:tcPr>
            <w:tcW w:w="196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2025</w:t>
            </w:r>
          </w:p>
        </w:tc>
      </w:tr>
      <w:tr>
        <w:trPr>
          <w:trHeight w:val="19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cash</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15,850</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8 %  $</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17,435</w:t>
            </w:r>
          </w:p>
        </w:tc>
      </w:tr>
      <w:tr>
        <w:trPr>
          <w:trHeight w:val="19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HSA investments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11,427</w:t>
            </w:r>
          </w:p>
        </w:tc>
        <w:tc>
          <w:tcPr>
            <w:tcW w:w="17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24 %</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14,676</w:t>
            </w:r>
          </w:p>
        </w:tc>
      </w:tr>
      <w:tr>
        <w:trPr>
          <w:trHeight w:val="200"/>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HSA Assets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27,277</w:t>
            </w:r>
          </w:p>
        </w:tc>
        <w:tc>
          <w:tcPr>
            <w:tcW w:w="1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15 %</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32,111</w:t>
            </w:r>
          </w:p>
        </w:tc>
      </w:tr>
      <w:tr>
        <w:trPr>
          <w:trHeight w:val="198"/>
        </w:trPr>
        <w:tc>
          <w:tcPr>
            <w:tcW w:w="5000" w:type="dxa"/>
            <w:vAlign w:val="bottom"/>
          </w:tcPr>
          <w:p>
            <w:pPr>
              <w:ind w:left="20"/>
              <w:spacing w:after="0"/>
              <w:rPr>
                <w:sz w:val="20"/>
                <w:szCs w:val="20"/>
                <w:color w:val="auto"/>
              </w:rPr>
            </w:pPr>
            <w:r>
              <w:rPr>
                <w:rFonts w:ascii="Arial" w:cs="Arial" w:eastAsia="Arial" w:hAnsi="Arial"/>
                <w:sz w:val="14"/>
                <w:szCs w:val="14"/>
                <w:color w:val="auto"/>
              </w:rPr>
              <w:t>Average daily HSA cash - Quarter-to-date</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15,388</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12 %</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16,634</w:t>
            </w:r>
          </w:p>
        </w:tc>
      </w:tr>
      <w:tr>
        <w:trPr>
          <w:trHeight w:val="203"/>
        </w:trPr>
        <w:tc>
          <w:tcPr>
            <w:tcW w:w="5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HSA cash - Year-to-date</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17,281</w:t>
            </w: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15,388</w:t>
            </w:r>
          </w:p>
        </w:tc>
        <w:tc>
          <w:tcPr>
            <w:tcW w:w="1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12 %</w:t>
            </w: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3" w:right="339" w:bottom="1440" w:gutter="0" w:footer="0" w:header="0"/>
        </w:sectPr>
      </w:pPr>
    </w:p>
    <w:bookmarkStart w:id="10" w:name="page11"/>
    <w:bookmarkEnd w:id="10"/>
    <w:p>
      <w:pPr>
        <w:spacing w:after="0" w:line="287" w:lineRule="auto"/>
        <w:rPr>
          <w:sz w:val="20"/>
          <w:szCs w:val="20"/>
          <w:color w:val="auto"/>
        </w:rPr>
      </w:pPr>
      <w:r>
        <w:rPr>
          <w:rFonts w:ascii="Arial" w:cs="Arial" w:eastAsia="Arial" w:hAnsi="Arial"/>
          <w:sz w:val="18"/>
          <w:szCs w:val="18"/>
          <w:color w:val="auto"/>
        </w:rPr>
        <w:t>The following table summarizes the amount of HSA cash held by our depository partners and insurance company partners that is expected to reprice by fiscal year and the respective average annualized yield currently earned on that HSA cash as of April 30, 2025:</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2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Year ending January 31, (in billions, except percentages)</w:t>
            </w:r>
          </w:p>
        </w:tc>
        <w:tc>
          <w:tcPr>
            <w:tcW w:w="2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HSA cash expected to</w:t>
            </w:r>
          </w:p>
        </w:tc>
        <w:tc>
          <w:tcPr>
            <w:tcW w:w="2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Average annualized yield</w:t>
            </w:r>
          </w:p>
        </w:tc>
        <w:tc>
          <w:tcPr>
            <w:tcW w:w="0" w:type="dxa"/>
            <w:vAlign w:val="bottom"/>
          </w:tcPr>
          <w:p>
            <w:pPr>
              <w:spacing w:after="0"/>
              <w:rPr>
                <w:sz w:val="1"/>
                <w:szCs w:val="1"/>
                <w:color w:val="auto"/>
              </w:rPr>
            </w:pPr>
          </w:p>
        </w:tc>
      </w:tr>
      <w:tr>
        <w:trPr>
          <w:trHeight w:val="185"/>
        </w:trPr>
        <w:tc>
          <w:tcPr>
            <w:tcW w:w="7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reprice</w:t>
            </w: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2026</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198"/>
        </w:trPr>
        <w:tc>
          <w:tcPr>
            <w:tcW w:w="7240" w:type="dxa"/>
            <w:vAlign w:val="bottom"/>
          </w:tcPr>
          <w:p>
            <w:pPr>
              <w:ind w:left="20"/>
              <w:spacing w:after="0"/>
              <w:rPr>
                <w:sz w:val="20"/>
                <w:szCs w:val="20"/>
                <w:color w:val="auto"/>
              </w:rPr>
            </w:pPr>
            <w:r>
              <w:rPr>
                <w:rFonts w:ascii="Arial" w:cs="Arial" w:eastAsia="Arial" w:hAnsi="Arial"/>
                <w:sz w:val="14"/>
                <w:szCs w:val="14"/>
                <w:color w:val="auto"/>
              </w:rPr>
              <w:t>2027</w:t>
            </w:r>
          </w:p>
        </w:tc>
        <w:tc>
          <w:tcPr>
            <w:tcW w:w="24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100" w:type="dxa"/>
            <w:vAlign w:val="bottom"/>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07"/>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98"/>
        </w:trPr>
        <w:tc>
          <w:tcPr>
            <w:tcW w:w="7240" w:type="dxa"/>
            <w:vAlign w:val="bottom"/>
          </w:tcPr>
          <w:p>
            <w:pPr>
              <w:ind w:left="20"/>
              <w:spacing w:after="0"/>
              <w:rPr>
                <w:sz w:val="20"/>
                <w:szCs w:val="20"/>
                <w:color w:val="auto"/>
              </w:rPr>
            </w:pPr>
            <w:r>
              <w:rPr>
                <w:rFonts w:ascii="Arial" w:cs="Arial" w:eastAsia="Arial" w:hAnsi="Arial"/>
                <w:sz w:val="14"/>
                <w:szCs w:val="14"/>
                <w:color w:val="auto"/>
              </w:rPr>
              <w:t>2029</w:t>
            </w:r>
          </w:p>
        </w:tc>
        <w:tc>
          <w:tcPr>
            <w:tcW w:w="24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100" w:type="dxa"/>
            <w:vAlign w:val="bottom"/>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07"/>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92"/>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 (1)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273"/>
        </w:trPr>
        <w:tc>
          <w:tcPr>
            <w:tcW w:w="7240" w:type="dxa"/>
            <w:vAlign w:val="bottom"/>
          </w:tcPr>
          <w:p>
            <w:pPr>
              <w:spacing w:after="0"/>
              <w:rPr>
                <w:sz w:val="20"/>
                <w:szCs w:val="20"/>
                <w:color w:val="auto"/>
              </w:rPr>
            </w:pPr>
            <w:r>
              <w:rPr>
                <w:rFonts w:ascii="Arial" w:cs="Arial" w:eastAsia="Arial" w:hAnsi="Arial"/>
                <w:sz w:val="14"/>
                <w:szCs w:val="14"/>
                <w:color w:val="auto"/>
              </w:rPr>
              <w:t>(1) Excludes $0.7 billion of HSA cash held in floating-rate contracts as of April 30, 2025.</w:t>
            </w: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Client-held funds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April 30, 2025</w:t>
            </w:r>
          </w:p>
        </w:tc>
        <w:tc>
          <w:tcPr>
            <w:tcW w:w="3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April 30, 2024</w:t>
            </w:r>
          </w:p>
        </w:tc>
        <w:tc>
          <w:tcPr>
            <w:tcW w:w="1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2025</w:t>
            </w:r>
          </w:p>
        </w:tc>
      </w:tr>
      <w:tr>
        <w:trPr>
          <w:trHeight w:val="197"/>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Client-held funds</w:t>
            </w:r>
          </w:p>
        </w:tc>
        <w:tc>
          <w:tcPr>
            <w:tcW w:w="12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858</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8 %  $</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r>
      <w:tr>
        <w:trPr>
          <w:trHeight w:val="198"/>
        </w:trPr>
        <w:tc>
          <w:tcPr>
            <w:tcW w:w="4060" w:type="dxa"/>
            <w:vAlign w:val="bottom"/>
          </w:tcPr>
          <w:p>
            <w:pPr>
              <w:ind w:left="20"/>
              <w:spacing w:after="0"/>
              <w:rPr>
                <w:sz w:val="20"/>
                <w:szCs w:val="20"/>
                <w:color w:val="auto"/>
              </w:rPr>
            </w:pPr>
            <w:r>
              <w:rPr>
                <w:rFonts w:ascii="Arial" w:cs="Arial" w:eastAsia="Arial" w:hAnsi="Arial"/>
                <w:sz w:val="14"/>
                <w:szCs w:val="14"/>
                <w:color w:val="auto"/>
              </w:rPr>
              <w:t>Average daily Client-held funds - Quarter-to-date</w:t>
            </w:r>
          </w:p>
        </w:tc>
        <w:tc>
          <w:tcPr>
            <w:tcW w:w="124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902</w:t>
            </w:r>
          </w:p>
        </w:tc>
        <w:tc>
          <w:tcPr>
            <w:tcW w:w="340" w:type="dxa"/>
            <w:vAlign w:val="bottom"/>
          </w:tcPr>
          <w:p>
            <w:pPr>
              <w:spacing w:after="0"/>
              <w:rPr>
                <w:sz w:val="17"/>
                <w:szCs w:val="17"/>
                <w:color w:val="auto"/>
              </w:rPr>
            </w:pPr>
          </w:p>
        </w:tc>
        <w:tc>
          <w:tcPr>
            <w:tcW w:w="1640" w:type="dxa"/>
            <w:vAlign w:val="bottom"/>
          </w:tcPr>
          <w:p>
            <w:pPr>
              <w:jc w:val="right"/>
              <w:ind w:right="468"/>
              <w:spacing w:after="0"/>
              <w:rPr>
                <w:sz w:val="20"/>
                <w:szCs w:val="20"/>
                <w:color w:val="auto"/>
              </w:rPr>
            </w:pPr>
            <w:r>
              <w:rPr>
                <w:rFonts w:ascii="Arial" w:cs="Arial" w:eastAsia="Arial" w:hAnsi="Arial"/>
                <w:sz w:val="14"/>
                <w:szCs w:val="14"/>
                <w:color w:val="auto"/>
              </w:rPr>
              <w:t>840</w:t>
            </w:r>
          </w:p>
        </w:tc>
        <w:tc>
          <w:tcPr>
            <w:tcW w:w="1480" w:type="dxa"/>
            <w:vAlign w:val="bottom"/>
          </w:tcPr>
          <w:p>
            <w:pPr>
              <w:jc w:val="right"/>
              <w:ind w:right="228"/>
              <w:spacing w:after="0"/>
              <w:rPr>
                <w:sz w:val="20"/>
                <w:szCs w:val="20"/>
                <w:color w:val="auto"/>
              </w:rPr>
            </w:pPr>
            <w:r>
              <w:rPr>
                <w:rFonts w:ascii="Arial" w:cs="Arial" w:eastAsia="Arial" w:hAnsi="Arial"/>
                <w:sz w:val="14"/>
                <w:szCs w:val="14"/>
                <w:color w:val="auto"/>
              </w:rPr>
              <w:t>7 %</w:t>
            </w:r>
          </w:p>
        </w:tc>
        <w:tc>
          <w:tcPr>
            <w:tcW w:w="128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203"/>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Average daily Client-held funds - Year-to-date</w:t>
            </w:r>
          </w:p>
        </w:tc>
        <w:tc>
          <w:tcPr>
            <w:tcW w:w="1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902</w:t>
            </w:r>
          </w:p>
        </w:tc>
        <w:tc>
          <w:tcPr>
            <w:tcW w:w="34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840</w:t>
            </w:r>
          </w:p>
        </w:tc>
        <w:tc>
          <w:tcPr>
            <w:tcW w:w="14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7 %</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EBITDA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28,813</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(3,881)</w:t>
            </w:r>
          </w:p>
        </w:tc>
      </w:tr>
      <w:tr>
        <w:trPr>
          <w:trHeight w:val="206"/>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11,795</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17,038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4,426</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13,393</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27,002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25,545</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32,020</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2,143</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incremental costs to obtain a contract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790</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92"/>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140,208</w:t>
            </w:r>
          </w:p>
        </w:tc>
        <w:tc>
          <w:tcPr>
            <w:tcW w:w="10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117,435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as a percentage of revenue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0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7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53,915</w:t>
            </w:r>
          </w:p>
        </w:tc>
        <w:tc>
          <w:tcPr>
            <w:tcW w:w="56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28,813</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25,102</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r>
      <w:tr>
        <w:trPr>
          <w:trHeight w:val="19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percentage of revenue</w:t>
            </w:r>
          </w:p>
        </w:tc>
        <w:tc>
          <w:tcPr>
            <w:tcW w:w="1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as a percentage of revenue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0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6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140,208</w:t>
            </w:r>
          </w:p>
        </w:tc>
        <w:tc>
          <w:tcPr>
            <w:tcW w:w="52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117,435</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22,773</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9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As a percentage of revenue</w:t>
            </w:r>
          </w:p>
        </w:tc>
        <w:tc>
          <w:tcPr>
            <w:tcW w:w="1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c>
          <w:tcPr>
            <w:tcW w:w="5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Reconciliation of net income outlook to Adjusted EBITDA outlook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Outlook for the year ending</w:t>
            </w:r>
          </w:p>
        </w:tc>
      </w:tr>
      <w:tr>
        <w:trPr>
          <w:trHeight w:val="20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$173 - 188</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24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2440" w:type="dxa"/>
            <w:vAlign w:val="bottom"/>
          </w:tcPr>
          <w:p>
            <w:pPr>
              <w:jc w:val="right"/>
              <w:spacing w:after="0"/>
              <w:rPr>
                <w:sz w:val="20"/>
                <w:szCs w:val="20"/>
                <w:color w:val="auto"/>
              </w:rPr>
            </w:pPr>
            <w:r>
              <w:rPr>
                <w:rFonts w:ascii="Arial" w:cs="Arial" w:eastAsia="Arial" w:hAnsi="Arial"/>
                <w:sz w:val="14"/>
                <w:szCs w:val="14"/>
                <w:color w:val="auto"/>
              </w:rPr>
              <w:t>58 - 63</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24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6"/>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Merger integration expenses</w:t>
            </w:r>
          </w:p>
        </w:tc>
        <w:tc>
          <w:tcPr>
            <w:tcW w:w="24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incremental costs to obtain a contract</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$530 - 550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non-GAAP net income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r>
      <w:tr>
        <w:trPr>
          <w:trHeight w:val="204"/>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19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53,915</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28,813</w:t>
            </w:r>
          </w:p>
        </w:tc>
      </w:tr>
      <w:tr>
        <w:trPr>
          <w:trHeight w:val="198"/>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17,038</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4,426</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 - GAAP</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33,239</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Non-GAAP adjustments:</w:t>
            </w: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25,545</w:t>
            </w:r>
          </w:p>
        </w:tc>
      </w:tr>
      <w:tr>
        <w:trPr>
          <w:trHeight w:val="198"/>
        </w:trPr>
        <w:tc>
          <w:tcPr>
            <w:tcW w:w="734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32,020</w:t>
            </w:r>
          </w:p>
        </w:tc>
      </w:tr>
      <w:tr>
        <w:trPr>
          <w:trHeight w:val="207"/>
        </w:trPr>
        <w:tc>
          <w:tcPr>
            <w:tcW w:w="7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 expenses</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2,143</w:t>
            </w:r>
          </w:p>
        </w:tc>
      </w:tr>
      <w:tr>
        <w:trPr>
          <w:trHeight w:val="198"/>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w:t>
            </w:r>
          </w:p>
        </w:tc>
      </w:tr>
      <w:tr>
        <w:trPr>
          <w:trHeight w:val="200"/>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 to income before income taxes - GAAP</w:t>
            </w:r>
          </w:p>
        </w:tc>
        <w:tc>
          <w:tcPr>
            <w:tcW w:w="7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43,465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60,498</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Income before income taxes - Non-GAAP</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114,418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93,737</w:t>
            </w:r>
          </w:p>
        </w:tc>
      </w:tr>
      <w:tr>
        <w:trPr>
          <w:trHeight w:val="20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 Non-GAAP (1)</w:t>
            </w:r>
          </w:p>
        </w:tc>
        <w:tc>
          <w:tcPr>
            <w:tcW w:w="7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28,604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23,434</w:t>
            </w:r>
          </w:p>
        </w:tc>
      </w:tr>
      <w:tr>
        <w:trPr>
          <w:trHeight w:val="192"/>
        </w:trPr>
        <w:tc>
          <w:tcPr>
            <w:tcW w:w="7340" w:type="dxa"/>
            <w:vAlign w:val="bottom"/>
          </w:tcPr>
          <w:p>
            <w:pPr>
              <w:ind w:left="20"/>
              <w:spacing w:after="0"/>
              <w:rPr>
                <w:sz w:val="20"/>
                <w:szCs w:val="20"/>
                <w:color w:val="auto"/>
              </w:rPr>
            </w:pPr>
            <w:r>
              <w:rPr>
                <w:rFonts w:ascii="Arial" w:cs="Arial" w:eastAsia="Arial" w:hAnsi="Arial"/>
                <w:sz w:val="14"/>
                <w:szCs w:val="14"/>
                <w:color w:val="auto"/>
              </w:rPr>
              <w:t>Non-GAAP net income</w:t>
            </w:r>
          </w:p>
        </w:tc>
        <w:tc>
          <w:tcPr>
            <w:tcW w:w="7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85,814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70,303</w:t>
            </w:r>
          </w:p>
        </w:tc>
      </w:tr>
      <w:tr>
        <w:trPr>
          <w:trHeight w:val="274"/>
        </w:trPr>
        <w:tc>
          <w:tcPr>
            <w:tcW w:w="73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199"/>
        </w:trPr>
        <w:tc>
          <w:tcPr>
            <w:tcW w:w="7340" w:type="dxa"/>
            <w:vAlign w:val="bottom"/>
          </w:tcPr>
          <w:p>
            <w:pPr>
              <w:ind w:left="20"/>
              <w:spacing w:after="0"/>
              <w:rPr>
                <w:sz w:val="20"/>
                <w:szCs w:val="20"/>
                <w:color w:val="auto"/>
              </w:rPr>
            </w:pPr>
            <w:r>
              <w:rPr>
                <w:rFonts w:ascii="Arial" w:cs="Arial" w:eastAsia="Arial" w:hAnsi="Arial"/>
                <w:sz w:val="14"/>
                <w:szCs w:val="14"/>
                <w:color w:val="auto"/>
              </w:rPr>
              <w:t>Diluted weighted-average shares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88,415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88,324</w:t>
            </w:r>
          </w:p>
        </w:tc>
      </w:tr>
      <w:tr>
        <w:trPr>
          <w:trHeight w:val="206"/>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per diluted share</w:t>
            </w:r>
          </w:p>
        </w:tc>
        <w:tc>
          <w:tcPr>
            <w:tcW w:w="72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90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r>
      <w:tr>
        <w:trPr>
          <w:trHeight w:val="199"/>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income per diluted share</w:t>
            </w: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c>
          <w:tcPr>
            <w:tcW w:w="9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0.80</w:t>
            </w:r>
          </w:p>
        </w:tc>
      </w:tr>
    </w:tbl>
    <w:p>
      <w:pPr>
        <w:spacing w:after="0" w:line="126" w:lineRule="exact"/>
        <w:rPr>
          <w:sz w:val="20"/>
          <w:szCs w:val="20"/>
          <w:color w:val="auto"/>
        </w:rPr>
      </w:pPr>
    </w:p>
    <w:p>
      <w:pPr>
        <w:ind w:left="340" w:right="40" w:hanging="332"/>
        <w:spacing w:after="0" w:line="27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6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Reconciliation of net income outlook to non-GAAP net income outlook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Outlook for the year ending</w:t>
            </w:r>
          </w:p>
        </w:tc>
      </w:tr>
      <w:tr>
        <w:trPr>
          <w:trHeight w:val="20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 2026</w:t>
            </w:r>
          </w:p>
        </w:tc>
      </w:tr>
      <w:tr>
        <w:trPr>
          <w:trHeight w:val="19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- 188</w:t>
            </w:r>
          </w:p>
        </w:tc>
      </w:tr>
      <w:tr>
        <w:trPr>
          <w:trHeight w:val="198"/>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58 - 63</w:t>
            </w:r>
          </w:p>
        </w:tc>
      </w:tr>
      <w:tr>
        <w:trPr>
          <w:trHeight w:val="200"/>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 - GAAP</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- 251</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Non-GAAP adjustments:</w:t>
            </w: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98"/>
        </w:trPr>
        <w:tc>
          <w:tcPr>
            <w:tcW w:w="8800" w:type="dxa"/>
            <w:vAlign w:val="bottom"/>
          </w:tcPr>
          <w:p>
            <w:pPr>
              <w:ind w:left="140"/>
              <w:spacing w:after="0"/>
              <w:rPr>
                <w:sz w:val="20"/>
                <w:szCs w:val="20"/>
                <w:color w:val="auto"/>
              </w:rPr>
            </w:pPr>
            <w:r>
              <w:rPr>
                <w:rFonts w:ascii="Arial" w:cs="Arial" w:eastAsia="Arial" w:hAnsi="Arial"/>
                <w:sz w:val="14"/>
                <w:szCs w:val="14"/>
                <w:color w:val="auto"/>
              </w:rPr>
              <w:t>Stock-based compensation expense</w:t>
            </w:r>
          </w:p>
        </w:tc>
        <w:tc>
          <w:tcPr>
            <w:tcW w:w="2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7"/>
        </w:trPr>
        <w:tc>
          <w:tcPr>
            <w:tcW w:w="8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Merger integration expenses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Costs associated with unused office space</w:t>
            </w:r>
          </w:p>
        </w:tc>
        <w:tc>
          <w:tcPr>
            <w:tcW w:w="20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00"/>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 to income before income taxes - GAAP</w:t>
            </w:r>
          </w:p>
        </w:tc>
        <w:tc>
          <w:tcPr>
            <w:tcW w:w="20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92"/>
        </w:trPr>
        <w:tc>
          <w:tcPr>
            <w:tcW w:w="8800" w:type="dxa"/>
            <w:vAlign w:val="bottom"/>
          </w:tcPr>
          <w:p>
            <w:pPr>
              <w:ind w:left="20"/>
              <w:spacing w:after="0"/>
              <w:rPr>
                <w:sz w:val="20"/>
                <w:szCs w:val="20"/>
                <w:color w:val="auto"/>
              </w:rPr>
            </w:pPr>
            <w:r>
              <w:rPr>
                <w:rFonts w:ascii="Arial" w:cs="Arial" w:eastAsia="Arial" w:hAnsi="Arial"/>
                <w:sz w:val="14"/>
                <w:szCs w:val="14"/>
                <w:color w:val="auto"/>
              </w:rPr>
              <w:t>Income before income taxes - Non-GAAP</w:t>
            </w:r>
          </w:p>
        </w:tc>
        <w:tc>
          <w:tcPr>
            <w:tcW w:w="2080" w:type="dxa"/>
            <w:vAlign w:val="bottom"/>
          </w:tcPr>
          <w:p>
            <w:pPr>
              <w:jc w:val="right"/>
              <w:spacing w:after="0"/>
              <w:rPr>
                <w:sz w:val="20"/>
                <w:szCs w:val="20"/>
                <w:color w:val="auto"/>
              </w:rPr>
            </w:pPr>
            <w:r>
              <w:rPr>
                <w:rFonts w:ascii="Arial" w:cs="Arial" w:eastAsia="Arial" w:hAnsi="Arial"/>
                <w:sz w:val="14"/>
                <w:szCs w:val="14"/>
                <w:color w:val="auto"/>
              </w:rPr>
              <w:t>426</w:t>
            </w:r>
          </w:p>
        </w:tc>
        <w:tc>
          <w:tcPr>
            <w:tcW w:w="360" w:type="dxa"/>
            <w:vAlign w:val="bottom"/>
          </w:tcPr>
          <w:p>
            <w:pPr>
              <w:jc w:val="right"/>
              <w:spacing w:after="0"/>
              <w:rPr>
                <w:sz w:val="20"/>
                <w:szCs w:val="20"/>
                <w:color w:val="auto"/>
              </w:rPr>
            </w:pPr>
            <w:r>
              <w:rPr>
                <w:rFonts w:ascii="Arial" w:cs="Arial" w:eastAsia="Arial" w:hAnsi="Arial"/>
                <w:sz w:val="14"/>
                <w:szCs w:val="14"/>
                <w:color w:val="auto"/>
              </w:rPr>
              <w:t>- 446</w:t>
            </w:r>
          </w:p>
        </w:tc>
      </w:tr>
      <w:tr>
        <w:trPr>
          <w:trHeight w:val="20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 Non-GAAP (1)</w:t>
            </w:r>
          </w:p>
        </w:tc>
        <w:tc>
          <w:tcPr>
            <w:tcW w:w="2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106 - 111</w:t>
            </w:r>
          </w:p>
        </w:tc>
      </w:tr>
      <w:tr>
        <w:trPr>
          <w:trHeight w:val="192"/>
        </w:trPr>
        <w:tc>
          <w:tcPr>
            <w:tcW w:w="8800" w:type="dxa"/>
            <w:vAlign w:val="bottom"/>
          </w:tcPr>
          <w:p>
            <w:pPr>
              <w:ind w:left="20"/>
              <w:spacing w:after="0"/>
              <w:rPr>
                <w:sz w:val="20"/>
                <w:szCs w:val="20"/>
                <w:color w:val="auto"/>
              </w:rPr>
            </w:pPr>
            <w:r>
              <w:rPr>
                <w:rFonts w:ascii="Arial" w:cs="Arial" w:eastAsia="Arial" w:hAnsi="Arial"/>
                <w:sz w:val="14"/>
                <w:szCs w:val="14"/>
                <w:color w:val="auto"/>
              </w:rPr>
              <w:t>Non-GAAP net income</w:t>
            </w:r>
          </w:p>
        </w:tc>
        <w:tc>
          <w:tcPr>
            <w:tcW w:w="2080" w:type="dxa"/>
            <w:vAlign w:val="bottom"/>
          </w:tcPr>
          <w:p>
            <w:pPr>
              <w:jc w:val="right"/>
              <w:spacing w:after="0"/>
              <w:rPr>
                <w:sz w:val="20"/>
                <w:szCs w:val="20"/>
                <w:color w:val="auto"/>
              </w:rPr>
            </w:pPr>
            <w:r>
              <w:rPr>
                <w:rFonts w:ascii="Arial" w:cs="Arial" w:eastAsia="Arial" w:hAnsi="Arial"/>
                <w:sz w:val="14"/>
                <w:szCs w:val="14"/>
                <w:color w:val="auto"/>
              </w:rPr>
              <w:t>$320</w:t>
            </w:r>
          </w:p>
        </w:tc>
        <w:tc>
          <w:tcPr>
            <w:tcW w:w="360" w:type="dxa"/>
            <w:vAlign w:val="bottom"/>
          </w:tcPr>
          <w:p>
            <w:pPr>
              <w:jc w:val="right"/>
              <w:spacing w:after="0"/>
              <w:rPr>
                <w:sz w:val="20"/>
                <w:szCs w:val="20"/>
                <w:color w:val="auto"/>
              </w:rPr>
            </w:pPr>
            <w:r>
              <w:rPr>
                <w:rFonts w:ascii="Arial" w:cs="Arial" w:eastAsia="Arial" w:hAnsi="Arial"/>
                <w:sz w:val="14"/>
                <w:szCs w:val="14"/>
                <w:color w:val="auto"/>
              </w:rPr>
              <w:t>- 335</w:t>
            </w:r>
          </w:p>
        </w:tc>
      </w:tr>
      <w:tr>
        <w:trPr>
          <w:trHeight w:val="261"/>
        </w:trPr>
        <w:tc>
          <w:tcPr>
            <w:tcW w:w="880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198"/>
        </w:trPr>
        <w:tc>
          <w:tcPr>
            <w:tcW w:w="8800" w:type="dxa"/>
            <w:vAlign w:val="bottom"/>
          </w:tcPr>
          <w:p>
            <w:pPr>
              <w:ind w:left="20"/>
              <w:spacing w:after="0"/>
              <w:rPr>
                <w:sz w:val="20"/>
                <w:szCs w:val="20"/>
                <w:color w:val="auto"/>
              </w:rPr>
            </w:pPr>
            <w:r>
              <w:rPr>
                <w:rFonts w:ascii="Arial" w:cs="Arial" w:eastAsia="Arial" w:hAnsi="Arial"/>
                <w:sz w:val="14"/>
                <w:szCs w:val="14"/>
                <w:color w:val="auto"/>
              </w:rPr>
              <w:t>Diluted weighted-average shares</w:t>
            </w:r>
          </w:p>
        </w:tc>
        <w:tc>
          <w:tcPr>
            <w:tcW w:w="20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7"/>
        </w:trPr>
        <w:tc>
          <w:tcPr>
            <w:tcW w:w="8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income per diluted share (2)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$1.96 - 2.13</w:t>
            </w:r>
          </w:p>
        </w:tc>
      </w:tr>
      <w:tr>
        <w:trPr>
          <w:trHeight w:val="198"/>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Non-GAAP net income per diluted share (2)</w:t>
            </w:r>
          </w:p>
        </w:tc>
        <w:tc>
          <w:tcPr>
            <w:tcW w:w="2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$3.61 - 3.78</w:t>
            </w:r>
          </w:p>
        </w:tc>
      </w:tr>
    </w:tbl>
    <w:p>
      <w:pPr>
        <w:spacing w:after="0" w:line="139" w:lineRule="exact"/>
        <w:rPr>
          <w:sz w:val="20"/>
          <w:szCs w:val="20"/>
          <w:color w:val="auto"/>
        </w:rPr>
      </w:pPr>
    </w:p>
    <w:p>
      <w:pPr>
        <w:ind w:left="340" w:right="40" w:hanging="332"/>
        <w:spacing w:after="0" w:line="267"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GAAP and non-GAAP net income per diluted share may not calculate due to rounding.</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w:t>
            </w:r>
          </w:p>
        </w:tc>
        <w:tc>
          <w:tcPr>
            <w:tcW w:w="9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b w:val="1"/>
                <w:bCs w:val="1"/>
                <w:color w:val="auto"/>
              </w:rPr>
              <w:t>Definition</w:t>
            </w:r>
          </w:p>
        </w:tc>
      </w:tr>
      <w:tr>
        <w:trPr>
          <w:trHeight w:val="147"/>
        </w:trPr>
        <w:tc>
          <w:tcPr>
            <w:tcW w:w="19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HSA</w:t>
            </w:r>
          </w:p>
        </w:tc>
        <w:tc>
          <w:tcPr>
            <w:tcW w:w="9060" w:type="dxa"/>
            <w:vAlign w:val="bottom"/>
            <w:shd w:val="clear" w:color="auto" w:fill="CCEEFF"/>
          </w:tcPr>
          <w:p>
            <w:pPr>
              <w:ind w:left="800"/>
              <w:spacing w:after="0" w:line="147" w:lineRule="exact"/>
              <w:rPr>
                <w:sz w:val="20"/>
                <w:szCs w:val="20"/>
                <w:color w:val="auto"/>
              </w:rPr>
            </w:pPr>
            <w:r>
              <w:rPr>
                <w:rFonts w:ascii="Arial" w:cs="Arial" w:eastAsia="Arial" w:hAnsi="Arial"/>
                <w:sz w:val="14"/>
                <w:szCs w:val="14"/>
                <w:color w:val="auto"/>
              </w:rPr>
              <w:t>Health Savings Account, which is a financial account through which consumers spend and save long-term for healthcare on a</w:t>
            </w:r>
          </w:p>
        </w:tc>
      </w:tr>
      <w:tr>
        <w:trPr>
          <w:trHeight w:val="185"/>
        </w:trPr>
        <w:tc>
          <w:tcPr>
            <w:tcW w:w="1940" w:type="dxa"/>
            <w:vAlign w:val="bottom"/>
            <w:shd w:val="clear" w:color="auto" w:fill="CCEEFF"/>
          </w:tcPr>
          <w:p>
            <w:pPr>
              <w:spacing w:after="0"/>
              <w:rPr>
                <w:sz w:val="16"/>
                <w:szCs w:val="16"/>
                <w:color w:val="auto"/>
              </w:rPr>
            </w:pPr>
          </w:p>
        </w:tc>
        <w:tc>
          <w:tcPr>
            <w:tcW w:w="90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tax-advantaged basis.</w:t>
            </w:r>
          </w:p>
        </w:tc>
      </w:tr>
      <w:tr>
        <w:trPr>
          <w:trHeight w:val="153"/>
        </w:trPr>
        <w:tc>
          <w:tcPr>
            <w:tcW w:w="1940" w:type="dxa"/>
            <w:vAlign w:val="bottom"/>
          </w:tcPr>
          <w:p>
            <w:pPr>
              <w:ind w:left="20"/>
              <w:spacing w:after="0" w:line="153" w:lineRule="exact"/>
              <w:rPr>
                <w:sz w:val="20"/>
                <w:szCs w:val="20"/>
                <w:color w:val="auto"/>
              </w:rPr>
            </w:pPr>
            <w:r>
              <w:rPr>
                <w:rFonts w:ascii="Arial" w:cs="Arial" w:eastAsia="Arial" w:hAnsi="Arial"/>
                <w:sz w:val="14"/>
                <w:szCs w:val="14"/>
                <w:color w:val="auto"/>
              </w:rPr>
              <w:t>CDB</w:t>
            </w:r>
          </w:p>
        </w:tc>
        <w:tc>
          <w:tcPr>
            <w:tcW w:w="9060" w:type="dxa"/>
            <w:vAlign w:val="bottom"/>
          </w:tcPr>
          <w:p>
            <w:pPr>
              <w:ind w:left="800"/>
              <w:spacing w:after="0" w:line="153" w:lineRule="exact"/>
              <w:rPr>
                <w:sz w:val="20"/>
                <w:szCs w:val="20"/>
                <w:color w:val="auto"/>
              </w:rPr>
            </w:pPr>
            <w:r>
              <w:rPr>
                <w:rFonts w:ascii="Arial" w:cs="Arial" w:eastAsia="Arial" w:hAnsi="Arial"/>
                <w:sz w:val="14"/>
                <w:szCs w:val="14"/>
                <w:color w:val="auto"/>
              </w:rPr>
              <w:t>Consumer-directed benefits offered by employers, including flexible spending and health reimbursement arrangements (“FSAs”</w:t>
            </w:r>
          </w:p>
        </w:tc>
      </w:tr>
      <w:tr>
        <w:trPr>
          <w:trHeight w:val="185"/>
        </w:trPr>
        <w:tc>
          <w:tcPr>
            <w:tcW w:w="1940" w:type="dxa"/>
            <w:vAlign w:val="bottom"/>
          </w:tcPr>
          <w:p>
            <w:pPr>
              <w:spacing w:after="0"/>
              <w:rPr>
                <w:sz w:val="16"/>
                <w:szCs w:val="16"/>
                <w:color w:val="auto"/>
              </w:rPr>
            </w:pPr>
          </w:p>
        </w:tc>
        <w:tc>
          <w:tcPr>
            <w:tcW w:w="9060" w:type="dxa"/>
            <w:vAlign w:val="bottom"/>
          </w:tcPr>
          <w:p>
            <w:pPr>
              <w:ind w:left="800"/>
              <w:spacing w:after="0"/>
              <w:rPr>
                <w:sz w:val="20"/>
                <w:szCs w:val="20"/>
                <w:color w:val="auto"/>
              </w:rPr>
            </w:pPr>
            <w:r>
              <w:rPr>
                <w:rFonts w:ascii="Arial" w:cs="Arial" w:eastAsia="Arial" w:hAnsi="Arial"/>
                <w:sz w:val="14"/>
                <w:szCs w:val="14"/>
                <w:color w:val="auto"/>
              </w:rPr>
              <w:t>and “HRAs”), Consolidated Omnibus Budget Reconciliation Act (“COBRA”) administration, commuter and other benefits.</w:t>
            </w:r>
          </w:p>
        </w:tc>
      </w:tr>
      <w:tr>
        <w:trPr>
          <w:trHeight w:val="203"/>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HSA member</w:t>
            </w:r>
          </w:p>
        </w:tc>
        <w:tc>
          <w:tcPr>
            <w:tcW w:w="90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Consumers with HSAs that we serve.</w:t>
            </w:r>
          </w:p>
        </w:tc>
      </w:tr>
      <w:tr>
        <w:trPr>
          <w:trHeight w:val="166"/>
        </w:trPr>
        <w:tc>
          <w:tcPr>
            <w:tcW w:w="1940" w:type="dxa"/>
            <w:vAlign w:val="bottom"/>
          </w:tcPr>
          <w:p>
            <w:pPr>
              <w:ind w:left="20"/>
              <w:spacing w:after="0"/>
              <w:rPr>
                <w:sz w:val="20"/>
                <w:szCs w:val="20"/>
                <w:color w:val="auto"/>
              </w:rPr>
            </w:pPr>
            <w:r>
              <w:rPr>
                <w:rFonts w:ascii="Arial" w:cs="Arial" w:eastAsia="Arial" w:hAnsi="Arial"/>
                <w:sz w:val="14"/>
                <w:szCs w:val="14"/>
                <w:color w:val="auto"/>
              </w:rPr>
              <w:t>Total HSA Assets</w:t>
            </w:r>
          </w:p>
        </w:tc>
        <w:tc>
          <w:tcPr>
            <w:tcW w:w="9060" w:type="dxa"/>
            <w:vAlign w:val="bottom"/>
          </w:tcPr>
          <w:p>
            <w:pPr>
              <w:ind w:left="800"/>
              <w:spacing w:after="0"/>
              <w:rPr>
                <w:sz w:val="20"/>
                <w:szCs w:val="20"/>
                <w:color w:val="auto"/>
              </w:rPr>
            </w:pPr>
            <w:r>
              <w:rPr>
                <w:rFonts w:ascii="Arial" w:cs="Arial" w:eastAsia="Arial" w:hAnsi="Arial"/>
                <w:sz w:val="14"/>
                <w:szCs w:val="14"/>
                <w:color w:val="auto"/>
              </w:rPr>
              <w:t>HSA members’ custodial cash assets held by our federally insured depository partners and our insurance company partners.</w:t>
            </w:r>
          </w:p>
        </w:tc>
      </w:tr>
      <w:tr>
        <w:trPr>
          <w:trHeight w:val="190"/>
        </w:trPr>
        <w:tc>
          <w:tcPr>
            <w:tcW w:w="1940" w:type="dxa"/>
            <w:vAlign w:val="bottom"/>
          </w:tcPr>
          <w:p>
            <w:pPr>
              <w:spacing w:after="0"/>
              <w:rPr>
                <w:sz w:val="16"/>
                <w:szCs w:val="16"/>
                <w:color w:val="auto"/>
              </w:rPr>
            </w:pPr>
          </w:p>
        </w:tc>
        <w:tc>
          <w:tcPr>
            <w:tcW w:w="9060" w:type="dxa"/>
            <w:vAlign w:val="bottom"/>
          </w:tcPr>
          <w:p>
            <w:pPr>
              <w:ind w:left="800"/>
              <w:spacing w:after="0"/>
              <w:rPr>
                <w:sz w:val="20"/>
                <w:szCs w:val="20"/>
                <w:color w:val="auto"/>
              </w:rPr>
            </w:pPr>
            <w:r>
              <w:rPr>
                <w:rFonts w:ascii="Arial" w:cs="Arial" w:eastAsia="Arial" w:hAnsi="Arial"/>
                <w:sz w:val="14"/>
                <w:szCs w:val="14"/>
                <w:color w:val="auto"/>
              </w:rPr>
              <w:t>Total HSA Assets also includes HSA members' investments held by our custodial investment fund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697801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Client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Accounts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Client-held funds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Network Partner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EBITDA</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net income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Our employer clients.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sum of HSAs and CDBs on our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23495</wp:posOffset>
            </wp:positionV>
            <wp:extent cx="697801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Deposits held on behalf of our Clients to facilitate administration of our CDBs.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Our health plan partners, benefits administrators, and retirement plan recordkeepers.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23495</wp:posOffset>
            </wp:positionV>
            <wp:extent cx="6978015"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78015" cy="377190"/>
                    </a:xfrm>
                    <a:prstGeom prst="rect">
                      <a:avLst/>
                    </a:prstGeom>
                    <a:noFill/>
                  </pic:spPr>
                </pic:pic>
              </a:graphicData>
            </a:graphic>
          </wp:anchor>
        </w:drawing>
      </w:r>
    </w:p>
    <w:p>
      <w:pPr>
        <w:spacing w:after="0" w:line="130" w:lineRule="exact"/>
        <w:rPr>
          <w:sz w:val="20"/>
          <w:szCs w:val="20"/>
          <w:color w:val="auto"/>
        </w:rPr>
      </w:pPr>
    </w:p>
    <w:p>
      <w:pPr>
        <w:ind w:right="540"/>
        <w:spacing w:after="0" w:line="243" w:lineRule="auto"/>
        <w:rPr>
          <w:sz w:val="20"/>
          <w:szCs w:val="20"/>
          <w:color w:val="auto"/>
        </w:rPr>
      </w:pPr>
      <w:r>
        <w:rPr>
          <w:rFonts w:ascii="Arial" w:cs="Arial" w:eastAsia="Arial" w:hAnsi="Arial"/>
          <w:sz w:val="14"/>
          <w:szCs w:val="14"/>
          <w:color w:val="auto"/>
        </w:rPr>
        <w:t>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w:t>
      </w:r>
    </w:p>
    <w:p>
      <w:pPr>
        <w:spacing w:after="0" w:line="105" w:lineRule="exact"/>
        <w:rPr>
          <w:sz w:val="20"/>
          <w:szCs w:val="20"/>
          <w:color w:val="auto"/>
        </w:rPr>
      </w:pPr>
    </w:p>
    <w:p>
      <w:pPr>
        <w:ind w:right="640"/>
        <w:spacing w:after="0" w:line="231" w:lineRule="auto"/>
        <w:rPr>
          <w:sz w:val="20"/>
          <w:szCs w:val="20"/>
          <w:color w:val="auto"/>
        </w:rPr>
      </w:pPr>
      <w:r>
        <w:rPr>
          <w:rFonts w:ascii="Arial" w:cs="Arial" w:eastAsia="Arial" w:hAnsi="Arial"/>
          <w:sz w:val="14"/>
          <w:szCs w:val="14"/>
          <w:color w:val="auto"/>
        </w:rPr>
        <w:t>Calculated by adding back to GAAP net income before income taxes the following items: amortization of acquired intangible assets, stock-based compensation expense, merger integration expenses, acquisition costs, gains and losses on equity</w:t>
      </w:r>
    </w:p>
    <w:p>
      <w:pPr>
        <w:spacing w:after="0" w:line="1" w:lineRule="exact"/>
        <w:rPr>
          <w:sz w:val="20"/>
          <w:szCs w:val="20"/>
          <w:color w:val="auto"/>
        </w:rPr>
      </w:pPr>
    </w:p>
    <w:p>
      <w:pPr>
        <w:ind w:right="540"/>
        <w:spacing w:after="0" w:line="231" w:lineRule="auto"/>
        <w:rPr>
          <w:sz w:val="20"/>
          <w:szCs w:val="20"/>
          <w:color w:val="auto"/>
        </w:rPr>
      </w:pPr>
      <w:r>
        <w:rPr>
          <w:rFonts w:ascii="Arial" w:cs="Arial" w:eastAsia="Arial" w:hAnsi="Arial"/>
          <w:sz w:val="14"/>
          <w:szCs w:val="14"/>
          <w:color w:val="auto"/>
        </w:rPr>
        <w:t>securities, costs associated with unused office space, and losses on extinguishment of debt, and subtracting a non-GAAP tax provision using a normalized non-GAAP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5715</wp:posOffset>
            </wp:positionV>
            <wp:extent cx="697801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78015" cy="12890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2020" w:space="720"/>
            <w:col w:w="8500"/>
          </w:cols>
          <w:pgMar w:left="320" w:top="1363" w:right="339" w:bottom="1440" w:gutter="0" w:footer="0" w:header="0"/>
          <w:type w:val="continuous"/>
        </w:sectPr>
      </w:pPr>
    </w:p>
    <w:p>
      <w:pPr>
        <w:ind w:left="20"/>
        <w:spacing w:after="0"/>
        <w:tabs>
          <w:tab w:leader="none" w:pos="2720" w:val="left"/>
        </w:tabs>
        <w:rPr>
          <w:sz w:val="20"/>
          <w:szCs w:val="20"/>
          <w:color w:val="auto"/>
        </w:rPr>
      </w:pPr>
      <w:r>
        <w:rPr>
          <w:rFonts w:ascii="Arial" w:cs="Arial" w:eastAsia="Arial" w:hAnsi="Arial"/>
          <w:sz w:val="14"/>
          <w:szCs w:val="14"/>
          <w:color w:val="auto"/>
        </w:rPr>
        <w:t>Non-GAAP net income per diluted share</w:t>
        <w:tab/>
        <w:t>Calculated by dividing non-GAAP net income by diluted 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78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36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2025-06-03T15:11:35Z</dcterms:created>
  <dcterms:modified xsi:type="dcterms:W3CDTF">2025-06-03T15:11:35Z</dcterms:modified>
</cp:coreProperties>
</file>