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8"/>
        </w:rPr>
        <w:t>UNITED STATES</w:t>
        <w:br/>
        <w:t>SECURITIES AND EXCHANGE COMMISSION</w:t>
      </w: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 Pursuant to Section 14(a) of</w:t>
        <w:br/>
        <w:t>the Securities Exchange Act of 1934 (Amendment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Filed by the Registrant  </w:t>
      </w:r>
      <w:r>
        <w:rPr>
          <w:rFonts w:ascii="Wingdings;sans-serif" w:hAnsi="Wingdings;sans-serif"/>
          <w:b w:val="false"/>
          <w:color w:val="000000"/>
          <w:sz w:val="20"/>
        </w:rPr>
        <w:t>x</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Filed by a Party other than the Registrant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0" w:after="0"/>
        <w:jc w:val="left"/>
        <w:rPr>
          <w:color w:val="000000"/>
        </w:rPr>
      </w:pPr>
      <w:r>
        <w:rPr>
          <w:color w:val="000000"/>
        </w:rPr>
        <w:t> </w:t>
      </w:r>
    </w:p>
    <w:tbl>
      <w:tblPr>
        <w:tblW w:w="31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bl>
    <w:p>
      <w:pPr>
        <w:pStyle w:val="TextBody"/>
        <w:bidi w:val="0"/>
        <w:spacing w:lineRule="auto" w:line="288" w:before="0" w:after="0"/>
        <w:jc w:val="left"/>
        <w:rPr>
          <w:color w:val="000000"/>
        </w:rPr>
      </w:pPr>
      <w:r>
        <w:rPr>
          <w:color w:val="000000"/>
        </w:rPr>
        <w:t> </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bl>
    <w:p>
      <w:pPr>
        <w:pStyle w:val="TextBody"/>
        <w:bidi w:val="0"/>
        <w:spacing w:lineRule="auto" w:line="288" w:before="0" w:after="0"/>
        <w:jc w:val="left"/>
        <w:rPr>
          <w:color w:val="000000"/>
        </w:rPr>
      </w:pPr>
      <w:r>
        <w:rPr>
          <w:color w:val="000000"/>
        </w:rPr>
        <w:t> </w:t>
      </w:r>
    </w:p>
    <w:tbl>
      <w:tblPr>
        <w:tblW w:w="30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bl>
    <w:p>
      <w:pPr>
        <w:pStyle w:val="TextBody"/>
        <w:bidi w:val="0"/>
        <w:spacing w:lineRule="auto" w:line="288" w:before="0" w:after="0"/>
        <w:jc w:val="left"/>
        <w:rPr>
          <w:color w:val="000000"/>
        </w:rPr>
      </w:pPr>
      <w:r>
        <w:rPr>
          <w:color w:val="000000"/>
        </w:rPr>
        <w:t> </w:t>
      </w:r>
    </w:p>
    <w:tbl>
      <w:tblPr>
        <w:tblW w:w="33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94"/>
        <w:gridCol w:w="794"/>
        <w:gridCol w:w="1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bl>
    <w:p>
      <w:pPr>
        <w:pStyle w:val="TextBody"/>
        <w:bidi w:val="0"/>
        <w:spacing w:lineRule="auto" w:line="288" w:before="0" w:after="0"/>
        <w:jc w:val="left"/>
        <w:rPr>
          <w:color w:val="000000"/>
        </w:rPr>
      </w:pPr>
      <w:r>
        <w:rPr>
          <w:color w:val="000000"/>
        </w:rPr>
        <w:t> </w:t>
      </w:r>
    </w:p>
    <w:tbl>
      <w:tblPr>
        <w:tblW w:w="39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lineRule="auto" w:line="288" w:before="0" w:after="0"/>
        <w:jc w:val="left"/>
        <w:rPr>
          <w:color w:val="000000"/>
        </w:rPr>
      </w:pPr>
      <w:r>
        <w:rPr>
          <w:color w:val="000000"/>
        </w:rPr>
        <w:t> </w:t>
      </w:r>
    </w:p>
    <w:tbl>
      <w:tblPr>
        <w:tblW w:w="5925" w:type="dxa"/>
        <w:jc w:val="left"/>
        <w:tblInd w:w="0" w:type="dxa"/>
        <w:tblLayout w:type="fixed"/>
        <w:tblCellMar>
          <w:top w:w="28" w:type="dxa"/>
          <w:left w:w="28" w:type="dxa"/>
          <w:bottom w:w="28" w:type="dxa"/>
          <w:right w:w="28" w:type="dxa"/>
        </w:tblCellMar>
      </w:tblPr>
      <w:tblGrid>
        <w:gridCol w:w="1896"/>
        <w:gridCol w:w="1665"/>
        <w:gridCol w:w="236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HealthEquity, Inc.</w:t>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p>
      <w:pPr>
        <w:pStyle w:val="TextBody"/>
        <w:bidi w:val="0"/>
        <w:spacing w:lineRule="auto" w:line="288" w:before="0" w:after="0"/>
        <w:jc w:val="left"/>
        <w:rPr>
          <w:color w:val="000000"/>
        </w:rPr>
      </w:pPr>
      <w:r>
        <w:rPr>
          <w:color w:val="000000"/>
        </w:rPr>
        <w:t> </w:t>
      </w:r>
    </w:p>
    <w:tbl>
      <w:tblPr>
        <w:tblW w:w="2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bl>
    <w:p>
      <w:pPr>
        <w:pStyle w:val="TextBody"/>
        <w:bidi w:val="0"/>
        <w:spacing w:lineRule="auto" w:line="288" w:before="0" w:after="0"/>
        <w:jc w:val="left"/>
        <w:rPr>
          <w:color w:val="000000"/>
        </w:rPr>
      </w:pPr>
      <w:r>
        <w:rPr>
          <w:color w:val="000000"/>
        </w:rPr>
        <w:t> </w:t>
      </w:r>
    </w:p>
    <w:tbl>
      <w:tblPr>
        <w:tblW w:w="46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64"/>
        <w:gridCol w:w="1164"/>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bl>
    <w:p>
      <w:pPr>
        <w:pStyle w:val="TextBody"/>
        <w:bidi w:val="0"/>
        <w:spacing w:lineRule="auto" w:line="288" w:before="0" w:after="0"/>
        <w:jc w:val="left"/>
        <w:rPr>
          <w:color w:val="000000"/>
        </w:rPr>
      </w:pPr>
      <w:r>
        <w:rPr>
          <w:color w:val="000000"/>
        </w:rPr>
        <w:t> </w:t>
      </w:r>
    </w:p>
    <w:tbl>
      <w:tblPr>
        <w:tblW w:w="89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28"/>
        <w:gridCol w:w="2428"/>
        <w:gridCol w:w="3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V74012-P33553 BROADRIDGE CORPORATE ISSUER SOLUTIONS C/O HEALTHEQUITY, INC. P.O. BOX 1342 BRENTWOOD, NY 11717 HEALTHEQUITY, INC. 2025 Annual Meeting Vote by June 25, 2025 11:59 PM ET You invested in HEALTHEQUITY, INC. and it’s time to vote! You have the right to vote on proposals being presented at the Annual Meeting. This is an important notice regarding the availability of proxy materials for the stockholder meeting to be held on June 26, 2025. Get informed before you vote View the Notice and Proxy Statement, Annual Report and Form 10-K online OR you can receive a free paper or email copy of the material(s) by requesting prior to June 12,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at the Meeting* June 26, 2025 10:00 a.m., Mountain Daylight Time Virtually at: www.virtualshareholdermeeting.com/HQY2025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Vote at www.ProxyVote.com Prefer to receive an email instead? While voting on www.ProxyVote.com, be sure to click “Delivery Settings”. Voting Items Board Recommends V74013-P33553 THIS IS NOT A VOTABLE BALLOT This is an overview of the proposals being presented at the upcoming stockholder meeting. Please follow the instructions on the reverse side to vote these important matters. 1. Election of nine directors to hold office until the 2026 annual meeting of stockholders and until their successors are duly elected and qualified: Nominees: 1a. Robert Selander For 1b. Scott Cutler For 1c. Stephen Neeleman, M.D. For 1d. Adrian Dillon For 1e. Evelyn Dilsaver For 1f. Debra McCowan For 1g. Rajesh Natarajan For 1h. Stuart Parker For 1i. Gayle Wellborn For 2. To ratify the appointment of PricewaterhouseCoopers LLP as our independent registered public accounting firm for our fiscal year ending January 31, 2026. For 3. To approve, on a non-binding, advisory basis, the fiscal 2025 compensation paid to our named executive officers. For NOTE: Such other business as may properly come before the meeting or any adjournment thereof.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533</Words>
  <Characters>2888</Characters>
  <CharactersWithSpaces>3432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