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jc w:val="center"/>
        <w:ind w:right="-19"/>
        <w:spacing w:after="0"/>
        <w:rPr>
          <w:sz w:val="20"/>
          <w:szCs w:val="20"/>
          <w:color w:val="auto"/>
        </w:rPr>
      </w:pPr>
      <w:r>
        <w:rPr>
          <w:rFonts w:ascii="Arial" w:cs="Arial" w:eastAsia="Arial" w:hAnsi="Arial"/>
          <w:sz w:val="16"/>
          <w:szCs w:val="16"/>
          <w:b w:val="1"/>
          <w:bCs w:val="1"/>
          <w:color w:val="auto"/>
        </w:rPr>
        <w:t>Pursuant to Section 13 or 15(d) of</w:t>
      </w: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46355</wp:posOffset>
            </wp:positionV>
            <wp:extent cx="2785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HEALTHEQUITY, INC.</w:t>
      </w:r>
    </w:p>
    <w:p>
      <w:pPr>
        <w:spacing w:after="0" w:line="200" w:lineRule="exact"/>
        <w:rPr>
          <w:sz w:val="24"/>
          <w:szCs w:val="24"/>
          <w:color w:val="auto"/>
        </w:rPr>
      </w:pPr>
    </w:p>
    <w:p>
      <w:pPr>
        <w:spacing w:after="0" w:line="262" w:lineRule="exact"/>
        <w:rPr>
          <w:sz w:val="24"/>
          <w:szCs w:val="24"/>
          <w:color w:val="auto"/>
        </w:rPr>
      </w:pPr>
    </w:p>
    <w:tbl>
      <w:tblPr>
        <w:tblLayout w:type="fixed"/>
        <w:tblInd w:w="820" w:type="dxa"/>
        <w:tblCellMar>
          <w:top w:w="0" w:type="dxa"/>
          <w:left w:w="0" w:type="dxa"/>
          <w:bottom w:w="0" w:type="dxa"/>
          <w:right w:w="0" w:type="dxa"/>
        </w:tblCellMar>
      </w:tblPr>
      <w:tr>
        <w:trPr>
          <w:trHeight w:val="239"/>
        </w:trPr>
        <w:tc>
          <w:tcPr>
            <w:tcW w:w="2960" w:type="dxa"/>
            <w:vAlign w:val="bottom"/>
          </w:tcPr>
          <w:p>
            <w:pPr>
              <w:jc w:val="center"/>
              <w:ind w:right="822"/>
              <w:spacing w:after="0"/>
              <w:rPr>
                <w:sz w:val="20"/>
                <w:szCs w:val="20"/>
                <w:color w:val="auto"/>
              </w:rPr>
            </w:pPr>
            <w:r>
              <w:rPr>
                <w:rFonts w:ascii="Arial" w:cs="Arial" w:eastAsia="Arial" w:hAnsi="Arial"/>
                <w:sz w:val="18"/>
                <w:szCs w:val="18"/>
                <w:b w:val="1"/>
                <w:bCs w:val="1"/>
                <w:color w:val="auto"/>
                <w:w w:val="98"/>
              </w:rPr>
              <w:t>Delaware</w:t>
            </w:r>
          </w:p>
        </w:tc>
        <w:tc>
          <w:tcPr>
            <w:tcW w:w="3800" w:type="dxa"/>
            <w:vAlign w:val="bottom"/>
          </w:tcPr>
          <w:p>
            <w:pPr>
              <w:jc w:val="right"/>
              <w:ind w:right="1459"/>
              <w:spacing w:after="0"/>
              <w:rPr>
                <w:sz w:val="20"/>
                <w:szCs w:val="20"/>
                <w:color w:val="auto"/>
              </w:rPr>
            </w:pPr>
            <w:r>
              <w:rPr>
                <w:rFonts w:ascii="Arial" w:cs="Arial" w:eastAsia="Arial" w:hAnsi="Arial"/>
                <w:sz w:val="18"/>
                <w:szCs w:val="18"/>
                <w:b w:val="1"/>
                <w:bCs w:val="1"/>
                <w:color w:val="auto"/>
              </w:rPr>
              <w:t>001-36568</w:t>
            </w:r>
          </w:p>
        </w:tc>
        <w:tc>
          <w:tcPr>
            <w:tcW w:w="2560" w:type="dxa"/>
            <w:vAlign w:val="bottom"/>
          </w:tcPr>
          <w:p>
            <w:pPr>
              <w:jc w:val="center"/>
              <w:ind w:left="962"/>
              <w:spacing w:after="0"/>
              <w:rPr>
                <w:sz w:val="20"/>
                <w:szCs w:val="20"/>
                <w:color w:val="auto"/>
              </w:rPr>
            </w:pPr>
            <w:r>
              <w:rPr>
                <w:rFonts w:ascii="Arial" w:cs="Arial" w:eastAsia="Arial" w:hAnsi="Arial"/>
                <w:sz w:val="18"/>
                <w:szCs w:val="18"/>
                <w:b w:val="1"/>
                <w:bCs w:val="1"/>
                <w:color w:val="auto"/>
                <w:w w:val="99"/>
              </w:rPr>
              <w:t>52-2383166</w:t>
            </w:r>
          </w:p>
        </w:tc>
        <w:tc>
          <w:tcPr>
            <w:tcW w:w="0" w:type="dxa"/>
            <w:vAlign w:val="bottom"/>
          </w:tcPr>
          <w:p>
            <w:pPr>
              <w:spacing w:after="0"/>
              <w:rPr>
                <w:sz w:val="1"/>
                <w:szCs w:val="1"/>
                <w:color w:val="auto"/>
              </w:rPr>
            </w:pPr>
          </w:p>
        </w:tc>
      </w:tr>
      <w:tr>
        <w:trPr>
          <w:trHeight w:val="144"/>
        </w:trPr>
        <w:tc>
          <w:tcPr>
            <w:tcW w:w="2960" w:type="dxa"/>
            <w:vAlign w:val="bottom"/>
          </w:tcPr>
          <w:p>
            <w:pPr>
              <w:jc w:val="center"/>
              <w:ind w:right="822"/>
              <w:spacing w:after="0" w:line="145" w:lineRule="exact"/>
              <w:rPr>
                <w:sz w:val="20"/>
                <w:szCs w:val="20"/>
                <w:color w:val="auto"/>
              </w:rPr>
            </w:pPr>
            <w:r>
              <w:rPr>
                <w:rFonts w:ascii="Arial" w:cs="Arial" w:eastAsia="Arial" w:hAnsi="Arial"/>
                <w:sz w:val="14"/>
                <w:szCs w:val="14"/>
                <w:b w:val="1"/>
                <w:bCs w:val="1"/>
                <w:color w:val="auto"/>
              </w:rPr>
              <w:t>(State or other jurisdiction of</w:t>
            </w:r>
          </w:p>
        </w:tc>
        <w:tc>
          <w:tcPr>
            <w:tcW w:w="38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rPr>
              <w:t>(Commission File Number)</w:t>
            </w:r>
          </w:p>
        </w:tc>
        <w:tc>
          <w:tcPr>
            <w:tcW w:w="2560" w:type="dxa"/>
            <w:vAlign w:val="bottom"/>
          </w:tcPr>
          <w:p>
            <w:pPr>
              <w:jc w:val="center"/>
              <w:ind w:left="982"/>
              <w:spacing w:after="0" w:line="145"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2960" w:type="dxa"/>
            <w:vAlign w:val="bottom"/>
          </w:tcPr>
          <w:p>
            <w:pPr>
              <w:jc w:val="center"/>
              <w:ind w:right="822"/>
              <w:spacing w:after="0"/>
              <w:rPr>
                <w:sz w:val="20"/>
                <w:szCs w:val="20"/>
                <w:color w:val="auto"/>
              </w:rPr>
            </w:pPr>
            <w:r>
              <w:rPr>
                <w:rFonts w:ascii="Arial" w:cs="Arial" w:eastAsia="Arial" w:hAnsi="Arial"/>
                <w:sz w:val="14"/>
                <w:szCs w:val="14"/>
                <w:b w:val="1"/>
                <w:bCs w:val="1"/>
                <w:color w:val="auto"/>
              </w:rPr>
              <w:t>incorporation or organization)</w:t>
            </w:r>
          </w:p>
        </w:tc>
        <w:tc>
          <w:tcPr>
            <w:tcW w:w="3800" w:type="dxa"/>
            <w:vAlign w:val="bottom"/>
            <w:vMerge w:val="continue"/>
          </w:tcPr>
          <w:p>
            <w:pPr>
              <w:spacing w:after="0"/>
              <w:rPr>
                <w:sz w:val="17"/>
                <w:szCs w:val="17"/>
                <w:color w:val="auto"/>
              </w:rPr>
            </w:pPr>
          </w:p>
        </w:tc>
        <w:tc>
          <w:tcPr>
            <w:tcW w:w="2560" w:type="dxa"/>
            <w:vAlign w:val="bottom"/>
          </w:tcPr>
          <w:p>
            <w:pPr>
              <w:jc w:val="center"/>
              <w:ind w:left="962"/>
              <w:spacing w:after="0"/>
              <w:rPr>
                <w:sz w:val="20"/>
                <w:szCs w:val="20"/>
                <w:color w:val="auto"/>
              </w:rPr>
            </w:pPr>
            <w:r>
              <w:rPr>
                <w:rFonts w:ascii="Arial" w:cs="Arial" w:eastAsia="Arial" w:hAnsi="Arial"/>
                <w:sz w:val="14"/>
                <w:szCs w:val="14"/>
                <w:b w:val="1"/>
                <w:bCs w:val="1"/>
                <w:color w:val="auto"/>
              </w:rPr>
              <w:t>Identification Number)</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15 West Scenic Pointe Drive</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Suite 100</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Draper, Utah 84020</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(801) 727-1000</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Not Applicable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229235</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General Instruction A.2):</w:t>
      </w:r>
    </w:p>
    <w:p>
      <w:pPr>
        <w:spacing w:after="0" w:line="123"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6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10"/>
        </w:trPr>
        <w:tc>
          <w:tcPr>
            <w:tcW w:w="43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Title of each class</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2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320" w:type="dxa"/>
            <w:vAlign w:val="bottom"/>
          </w:tcPr>
          <w:p>
            <w:pPr>
              <w:jc w:val="center"/>
              <w:ind w:right="88"/>
              <w:spacing w:after="0"/>
              <w:rPr>
                <w:sz w:val="20"/>
                <w:szCs w:val="20"/>
                <w:color w:val="auto"/>
              </w:rPr>
            </w:pPr>
            <w:r>
              <w:rPr>
                <w:rFonts w:ascii="Arial" w:cs="Arial" w:eastAsia="Arial" w:hAnsi="Arial"/>
                <w:sz w:val="14"/>
                <w:szCs w:val="14"/>
                <w:color w:val="auto"/>
              </w:rPr>
              <w:t>Common stock, par value $0.0001 per share</w:t>
            </w:r>
          </w:p>
        </w:tc>
        <w:tc>
          <w:tcPr>
            <w:tcW w:w="2600" w:type="dxa"/>
            <w:vAlign w:val="bottom"/>
          </w:tcPr>
          <w:p>
            <w:pPr>
              <w:jc w:val="center"/>
              <w:spacing w:after="0"/>
              <w:rPr>
                <w:sz w:val="20"/>
                <w:szCs w:val="20"/>
                <w:color w:val="auto"/>
              </w:rPr>
            </w:pPr>
            <w:r>
              <w:rPr>
                <w:rFonts w:ascii="Arial" w:cs="Arial" w:eastAsia="Arial" w:hAnsi="Arial"/>
                <w:sz w:val="14"/>
                <w:szCs w:val="14"/>
                <w:color w:val="auto"/>
              </w:rPr>
              <w:t>HQY</w:t>
            </w:r>
          </w:p>
        </w:tc>
        <w:tc>
          <w:tcPr>
            <w:tcW w:w="4280" w:type="dxa"/>
            <w:vAlign w:val="bottom"/>
          </w:tcPr>
          <w:p>
            <w:pPr>
              <w:jc w:val="center"/>
              <w:ind w:left="48"/>
              <w:spacing w:after="0"/>
              <w:rPr>
                <w:sz w:val="20"/>
                <w:szCs w:val="20"/>
                <w:color w:val="auto"/>
              </w:rPr>
            </w:pPr>
            <w:r>
              <w:rPr>
                <w:rFonts w:ascii="Arial" w:cs="Arial" w:eastAsia="Arial" w:hAnsi="Arial"/>
                <w:sz w:val="14"/>
                <w:szCs w:val="14"/>
                <w:color w:val="auto"/>
              </w:rPr>
              <w:t>The NASDAQ Global Select Market</w:t>
            </w:r>
          </w:p>
        </w:tc>
      </w:tr>
    </w:tbl>
    <w:p>
      <w:pPr>
        <w:spacing w:after="0" w:line="201" w:lineRule="exact"/>
        <w:rPr>
          <w:sz w:val="24"/>
          <w:szCs w:val="24"/>
          <w:color w:val="auto"/>
        </w:rPr>
      </w:pPr>
    </w:p>
    <w:p>
      <w:pPr>
        <w:ind w:right="360"/>
        <w:spacing w:after="0" w:line="33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93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ind w:right="300"/>
        <w:spacing w:after="0" w:line="20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On May 28, 2026, HealthEquity, Inc. issued a press release attached as Exhibit 99.1 to this current report on Form 8-K.</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information in Exhibit 99.1 is being furnished to the Securities and Exchange Commission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20"/>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2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19"/>
                <w:szCs w:val="19"/>
                <w:color w:val="auto"/>
              </w:rPr>
            </w:pPr>
          </w:p>
        </w:tc>
        <w:tc>
          <w:tcPr>
            <w:tcW w:w="9720" w:type="dxa"/>
            <w:vAlign w:val="bottom"/>
            <w:gridSpan w:val="4"/>
          </w:tcPr>
          <w:p>
            <w:pPr>
              <w:spacing w:after="0"/>
              <w:rPr>
                <w:sz w:val="20"/>
                <w:szCs w:val="20"/>
                <w:color w:val="auto"/>
              </w:rPr>
            </w:pPr>
            <w:r>
              <w:rPr>
                <w:rFonts w:ascii="Arial" w:cs="Arial" w:eastAsia="Arial" w:hAnsi="Arial"/>
                <w:sz w:val="18"/>
                <w:szCs w:val="18"/>
                <w:color w:val="0000FF"/>
              </w:rPr>
              <w:t>Press release issued by HealthEquity, Inc. dated May 28, 2026, announcing financial results for its fiscal quarter ended</w:t>
            </w: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April 30, 2026.</w:t>
            </w:r>
          </w:p>
        </w:tc>
        <w:tc>
          <w:tcPr>
            <w:tcW w:w="826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r>
      <w:tr>
        <w:trPr>
          <w:trHeight w:val="295"/>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972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in Inline XBRL)</w:t>
            </w:r>
          </w:p>
        </w:tc>
      </w:tr>
      <w:tr>
        <w:trPr>
          <w:trHeight w:val="1232"/>
        </w:trPr>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7340" w:type="dxa"/>
            <w:vAlign w:val="bottom"/>
            <w:gridSpan w:val="2"/>
          </w:tcPr>
          <w:p>
            <w:pPr>
              <w:ind w:left="2300"/>
              <w:spacing w:after="0"/>
              <w:rPr>
                <w:sz w:val="20"/>
                <w:szCs w:val="20"/>
                <w:color w:val="auto"/>
              </w:rPr>
            </w:pPr>
            <w:r>
              <w:rPr>
                <w:rFonts w:ascii="Arial" w:cs="Arial" w:eastAsia="Arial" w:hAnsi="Arial"/>
                <w:sz w:val="18"/>
                <w:szCs w:val="18"/>
                <w:b w:val="1"/>
                <w:bCs w:val="1"/>
                <w:color w:val="auto"/>
              </w:rPr>
              <w:t>HEALTHEQUITY, INC.</w:t>
            </w:r>
          </w:p>
        </w:tc>
      </w:tr>
      <w:tr>
        <w:trPr>
          <w:trHeight w:val="235"/>
        </w:trPr>
        <w:tc>
          <w:tcPr>
            <w:tcW w:w="3880" w:type="dxa"/>
            <w:vAlign w:val="bottom"/>
          </w:tcPr>
          <w:p>
            <w:pPr>
              <w:spacing w:after="0"/>
              <w:rPr>
                <w:sz w:val="20"/>
                <w:szCs w:val="20"/>
                <w:color w:val="auto"/>
              </w:rPr>
            </w:pPr>
            <w:r>
              <w:rPr>
                <w:rFonts w:ascii="Arial" w:cs="Arial" w:eastAsia="Arial" w:hAnsi="Arial"/>
                <w:sz w:val="18"/>
                <w:szCs w:val="18"/>
                <w:color w:val="auto"/>
              </w:rPr>
              <w:t>Date: May 28, 2026</w:t>
            </w:r>
          </w:p>
        </w:tc>
        <w:tc>
          <w:tcPr>
            <w:tcW w:w="3320" w:type="dxa"/>
            <w:vAlign w:val="bottom"/>
          </w:tcPr>
          <w:p>
            <w:pPr>
              <w:ind w:left="230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Lucania</w:t>
            </w:r>
          </w:p>
        </w:tc>
      </w:tr>
      <w:tr>
        <w:trPr>
          <w:trHeight w:val="218"/>
        </w:trPr>
        <w:tc>
          <w:tcPr>
            <w:tcW w:w="3880" w:type="dxa"/>
            <w:vAlign w:val="bottom"/>
          </w:tcPr>
          <w:p>
            <w:pPr>
              <w:spacing w:after="0"/>
              <w:rPr>
                <w:sz w:val="18"/>
                <w:szCs w:val="18"/>
                <w:color w:val="auto"/>
              </w:rPr>
            </w:pPr>
          </w:p>
        </w:tc>
        <w:tc>
          <w:tcPr>
            <w:tcW w:w="3320" w:type="dxa"/>
            <w:vAlign w:val="bottom"/>
          </w:tcPr>
          <w:p>
            <w:pPr>
              <w:ind w:left="2300"/>
              <w:spacing w:after="0"/>
              <w:rPr>
                <w:sz w:val="20"/>
                <w:szCs w:val="20"/>
                <w:color w:val="auto"/>
              </w:rPr>
            </w:pPr>
            <w:r>
              <w:rPr>
                <w:rFonts w:ascii="Arial" w:cs="Arial" w:eastAsia="Arial" w:hAnsi="Arial"/>
                <w:sz w:val="18"/>
                <w:szCs w:val="18"/>
                <w:color w:val="auto"/>
              </w:rPr>
              <w:t>Name:</w:t>
            </w:r>
          </w:p>
        </w:tc>
        <w:tc>
          <w:tcPr>
            <w:tcW w:w="4020" w:type="dxa"/>
            <w:vAlign w:val="bottom"/>
          </w:tcPr>
          <w:p>
            <w:pPr>
              <w:ind w:left="20"/>
              <w:spacing w:after="0"/>
              <w:rPr>
                <w:sz w:val="20"/>
                <w:szCs w:val="20"/>
                <w:color w:val="auto"/>
              </w:rPr>
            </w:pPr>
            <w:r>
              <w:rPr>
                <w:rFonts w:ascii="Arial" w:cs="Arial" w:eastAsia="Arial" w:hAnsi="Arial"/>
                <w:sz w:val="18"/>
                <w:szCs w:val="18"/>
                <w:color w:val="auto"/>
              </w:rPr>
              <w:t>James Lucania</w:t>
            </w:r>
          </w:p>
        </w:tc>
      </w:tr>
      <w:tr>
        <w:trPr>
          <w:trHeight w:val="189"/>
        </w:trPr>
        <w:tc>
          <w:tcPr>
            <w:tcW w:w="3880" w:type="dxa"/>
            <w:vAlign w:val="bottom"/>
          </w:tcPr>
          <w:p>
            <w:pPr>
              <w:spacing w:after="0"/>
              <w:rPr>
                <w:sz w:val="16"/>
                <w:szCs w:val="16"/>
                <w:color w:val="auto"/>
              </w:rPr>
            </w:pPr>
          </w:p>
        </w:tc>
        <w:tc>
          <w:tcPr>
            <w:tcW w:w="3320" w:type="dxa"/>
            <w:vAlign w:val="bottom"/>
          </w:tcPr>
          <w:p>
            <w:pPr>
              <w:ind w:left="2300"/>
              <w:spacing w:after="0" w:line="189" w:lineRule="exact"/>
              <w:rPr>
                <w:sz w:val="20"/>
                <w:szCs w:val="20"/>
                <w:color w:val="auto"/>
              </w:rPr>
            </w:pPr>
            <w:r>
              <w:rPr>
                <w:rFonts w:ascii="Arial" w:cs="Arial" w:eastAsia="Arial" w:hAnsi="Arial"/>
                <w:sz w:val="18"/>
                <w:szCs w:val="18"/>
                <w:color w:val="auto"/>
              </w:rPr>
              <w:t>Title:</w:t>
            </w:r>
          </w:p>
        </w:tc>
        <w:tc>
          <w:tcPr>
            <w:tcW w:w="402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 Financial</w:t>
            </w:r>
          </w:p>
        </w:tc>
      </w:tr>
      <w:tr>
        <w:trPr>
          <w:trHeight w:val="239"/>
        </w:trPr>
        <w:tc>
          <w:tcPr>
            <w:tcW w:w="38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131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HealthEquity Reports First Quarter Ended April 30, 2026 Financial Results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Raises Guidance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Increases Repurchase Program by $1.0 Billion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the first quarter include:</w:t>
      </w:r>
    </w:p>
    <w:p>
      <w:pPr>
        <w:spacing w:after="0" w:line="117"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Net income increased </w:t>
      </w:r>
      <w:r>
        <w:rPr>
          <w:rFonts w:ascii="Arial" w:cs="Arial" w:eastAsia="Arial" w:hAnsi="Arial"/>
          <w:sz w:val="18"/>
          <w:szCs w:val="18"/>
          <w:b w:val="1"/>
          <w:bCs w:val="1"/>
          <w:color w:val="auto"/>
        </w:rPr>
        <w:t>29%</w:t>
      </w:r>
      <w:r>
        <w:rPr>
          <w:rFonts w:ascii="Arial" w:cs="Arial" w:eastAsia="Arial" w:hAnsi="Arial"/>
          <w:sz w:val="18"/>
          <w:szCs w:val="18"/>
          <w:color w:val="auto"/>
        </w:rPr>
        <w:t xml:space="preserve"> to </w:t>
      </w:r>
      <w:r>
        <w:rPr>
          <w:rFonts w:ascii="Arial" w:cs="Arial" w:eastAsia="Arial" w:hAnsi="Arial"/>
          <w:sz w:val="18"/>
          <w:szCs w:val="18"/>
          <w:b w:val="1"/>
          <w:bCs w:val="1"/>
          <w:color w:val="auto"/>
        </w:rPr>
        <w:t>$69.4 million</w:t>
      </w:r>
      <w:r>
        <w:rPr>
          <w:rFonts w:ascii="Arial" w:cs="Arial" w:eastAsia="Arial" w:hAnsi="Arial"/>
          <w:sz w:val="18"/>
          <w:szCs w:val="18"/>
          <w:color w:val="auto"/>
        </w:rPr>
        <w:t xml:space="preserve">, and net income margin increased to </w:t>
      </w:r>
      <w:r>
        <w:rPr>
          <w:rFonts w:ascii="Arial" w:cs="Arial" w:eastAsia="Arial" w:hAnsi="Arial"/>
          <w:sz w:val="18"/>
          <w:szCs w:val="18"/>
          <w:b w:val="1"/>
          <w:bCs w:val="1"/>
          <w:color w:val="auto"/>
        </w:rPr>
        <w:t>20%</w:t>
      </w:r>
      <w:r>
        <w:rPr>
          <w:rFonts w:ascii="Arial" w:cs="Arial" w:eastAsia="Arial" w:hAnsi="Arial"/>
          <w:sz w:val="18"/>
          <w:szCs w:val="18"/>
          <w:color w:val="auto"/>
        </w:rPr>
        <w:t xml:space="preserve"> from </w:t>
      </w:r>
      <w:r>
        <w:rPr>
          <w:rFonts w:ascii="Arial" w:cs="Arial" w:eastAsia="Arial" w:hAnsi="Arial"/>
          <w:sz w:val="18"/>
          <w:szCs w:val="18"/>
          <w:b w:val="1"/>
          <w:bCs w:val="1"/>
          <w:color w:val="auto"/>
        </w:rPr>
        <w:t>16%</w:t>
      </w:r>
      <w:r>
        <w:rPr>
          <w:rFonts w:ascii="Arial" w:cs="Arial" w:eastAsia="Arial" w:hAnsi="Arial"/>
          <w:sz w:val="18"/>
          <w:szCs w:val="18"/>
          <w:color w:val="auto"/>
        </w:rPr>
        <w:t xml:space="preserve"> last year.</w:t>
      </w:r>
    </w:p>
    <w:p>
      <w:pPr>
        <w:spacing w:after="0" w:line="27"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Adjusted EBITDA increased </w:t>
      </w:r>
      <w:r>
        <w:rPr>
          <w:rFonts w:ascii="Arial" w:cs="Arial" w:eastAsia="Arial" w:hAnsi="Arial"/>
          <w:sz w:val="18"/>
          <w:szCs w:val="18"/>
          <w:b w:val="1"/>
          <w:bCs w:val="1"/>
          <w:color w:val="auto"/>
        </w:rPr>
        <w:t>17%</w:t>
      </w:r>
      <w:r>
        <w:rPr>
          <w:rFonts w:ascii="Arial" w:cs="Arial" w:eastAsia="Arial" w:hAnsi="Arial"/>
          <w:sz w:val="18"/>
          <w:szCs w:val="18"/>
          <w:color w:val="auto"/>
        </w:rPr>
        <w:t xml:space="preserve"> to </w:t>
      </w:r>
      <w:r>
        <w:rPr>
          <w:rFonts w:ascii="Arial" w:cs="Arial" w:eastAsia="Arial" w:hAnsi="Arial"/>
          <w:sz w:val="18"/>
          <w:szCs w:val="18"/>
          <w:b w:val="1"/>
          <w:bCs w:val="1"/>
          <w:color w:val="auto"/>
        </w:rPr>
        <w:t>$164.5 million</w:t>
      </w:r>
      <w:r>
        <w:rPr>
          <w:rFonts w:ascii="Arial" w:cs="Arial" w:eastAsia="Arial" w:hAnsi="Arial"/>
          <w:sz w:val="18"/>
          <w:szCs w:val="18"/>
          <w:color w:val="auto"/>
        </w:rPr>
        <w:t xml:space="preserve">, and Adjusted EBITDA margin increased to </w:t>
      </w:r>
      <w:r>
        <w:rPr>
          <w:rFonts w:ascii="Arial" w:cs="Arial" w:eastAsia="Arial" w:hAnsi="Arial"/>
          <w:sz w:val="18"/>
          <w:szCs w:val="18"/>
          <w:b w:val="1"/>
          <w:bCs w:val="1"/>
          <w:color w:val="auto"/>
        </w:rPr>
        <w:t>46%</w:t>
      </w:r>
      <w:r>
        <w:rPr>
          <w:rFonts w:ascii="Arial" w:cs="Arial" w:eastAsia="Arial" w:hAnsi="Arial"/>
          <w:sz w:val="18"/>
          <w:szCs w:val="18"/>
          <w:color w:val="auto"/>
        </w:rPr>
        <w:t xml:space="preserve"> from </w:t>
      </w:r>
      <w:r>
        <w:rPr>
          <w:rFonts w:ascii="Arial" w:cs="Arial" w:eastAsia="Arial" w:hAnsi="Arial"/>
          <w:sz w:val="18"/>
          <w:szCs w:val="18"/>
          <w:b w:val="1"/>
          <w:bCs w:val="1"/>
          <w:color w:val="auto"/>
        </w:rPr>
        <w:t>42%</w:t>
      </w:r>
      <w:r>
        <w:rPr>
          <w:rFonts w:ascii="Arial" w:cs="Arial" w:eastAsia="Arial" w:hAnsi="Arial"/>
          <w:sz w:val="18"/>
          <w:szCs w:val="18"/>
          <w:color w:val="auto"/>
        </w:rPr>
        <w:t xml:space="preserve"> last year.</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Revenue increased </w:t>
      </w:r>
      <w:r>
        <w:rPr>
          <w:rFonts w:ascii="Arial" w:cs="Arial" w:eastAsia="Arial" w:hAnsi="Arial"/>
          <w:sz w:val="18"/>
          <w:szCs w:val="18"/>
          <w:b w:val="1"/>
          <w:bCs w:val="1"/>
          <w:color w:val="auto"/>
        </w:rPr>
        <w:t>7%</w:t>
      </w:r>
      <w:r>
        <w:rPr>
          <w:rFonts w:ascii="Arial" w:cs="Arial" w:eastAsia="Arial" w:hAnsi="Arial"/>
          <w:sz w:val="18"/>
          <w:szCs w:val="18"/>
          <w:color w:val="auto"/>
        </w:rPr>
        <w:t xml:space="preserve"> to </w:t>
      </w:r>
      <w:r>
        <w:rPr>
          <w:rFonts w:ascii="Arial" w:cs="Arial" w:eastAsia="Arial" w:hAnsi="Arial"/>
          <w:sz w:val="18"/>
          <w:szCs w:val="18"/>
          <w:b w:val="1"/>
          <w:bCs w:val="1"/>
          <w:color w:val="auto"/>
        </w:rPr>
        <w:t>$354.6 million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Net income per diluted share rose </w:t>
      </w:r>
      <w:r>
        <w:rPr>
          <w:rFonts w:ascii="Arial" w:cs="Arial" w:eastAsia="Arial" w:hAnsi="Arial"/>
          <w:sz w:val="18"/>
          <w:szCs w:val="18"/>
          <w:b w:val="1"/>
          <w:bCs w:val="1"/>
          <w:color w:val="auto"/>
        </w:rPr>
        <w:t>34%</w:t>
      </w:r>
      <w:r>
        <w:rPr>
          <w:rFonts w:ascii="Arial" w:cs="Arial" w:eastAsia="Arial" w:hAnsi="Arial"/>
          <w:sz w:val="18"/>
          <w:szCs w:val="18"/>
          <w:color w:val="auto"/>
        </w:rPr>
        <w:t xml:space="preserve"> to </w:t>
      </w:r>
      <w:r>
        <w:rPr>
          <w:rFonts w:ascii="Arial" w:cs="Arial" w:eastAsia="Arial" w:hAnsi="Arial"/>
          <w:sz w:val="18"/>
          <w:szCs w:val="18"/>
          <w:b w:val="1"/>
          <w:bCs w:val="1"/>
          <w:color w:val="auto"/>
        </w:rPr>
        <w:t>$0.82</w:t>
      </w:r>
      <w:r>
        <w:rPr>
          <w:rFonts w:ascii="Arial" w:cs="Arial" w:eastAsia="Arial" w:hAnsi="Arial"/>
          <w:sz w:val="18"/>
          <w:szCs w:val="18"/>
          <w:color w:val="auto"/>
        </w:rPr>
        <w:t xml:space="preserve"> from </w:t>
      </w:r>
      <w:r>
        <w:rPr>
          <w:rFonts w:ascii="Arial" w:cs="Arial" w:eastAsia="Arial" w:hAnsi="Arial"/>
          <w:sz w:val="18"/>
          <w:szCs w:val="18"/>
          <w:b w:val="1"/>
          <w:bCs w:val="1"/>
          <w:color w:val="auto"/>
        </w:rPr>
        <w:t>$0.61</w:t>
      </w:r>
      <w:r>
        <w:rPr>
          <w:rFonts w:ascii="Arial" w:cs="Arial" w:eastAsia="Arial" w:hAnsi="Arial"/>
          <w:sz w:val="18"/>
          <w:szCs w:val="18"/>
          <w:color w:val="auto"/>
        </w:rPr>
        <w:t xml:space="preserve"> one year ago, and non-GAAP net income per diluted share increased </w:t>
      </w:r>
      <w:r>
        <w:rPr>
          <w:rFonts w:ascii="Arial" w:cs="Arial" w:eastAsia="Arial" w:hAnsi="Arial"/>
          <w:sz w:val="18"/>
          <w:szCs w:val="18"/>
          <w:b w:val="1"/>
          <w:bCs w:val="1"/>
          <w:color w:val="auto"/>
        </w:rPr>
        <w:t>28%</w:t>
      </w:r>
      <w:r>
        <w:rPr>
          <w:rFonts w:ascii="Arial" w:cs="Arial" w:eastAsia="Arial" w:hAnsi="Arial"/>
          <w:sz w:val="18"/>
          <w:szCs w:val="18"/>
          <w:color w:val="auto"/>
        </w:rPr>
        <w:t xml:space="preserve"> to </w:t>
      </w:r>
      <w:r>
        <w:rPr>
          <w:rFonts w:ascii="Arial" w:cs="Arial" w:eastAsia="Arial" w:hAnsi="Arial"/>
          <w:sz w:val="18"/>
          <w:szCs w:val="18"/>
          <w:b w:val="1"/>
          <w:bCs w:val="1"/>
          <w:color w:val="auto"/>
        </w:rPr>
        <w:t>$1.24</w:t>
      </w:r>
      <w:r>
        <w:rPr>
          <w:rFonts w:ascii="Arial" w:cs="Arial" w:eastAsia="Arial" w:hAnsi="Arial"/>
          <w:sz w:val="18"/>
          <w:szCs w:val="18"/>
          <w:color w:val="auto"/>
        </w:rPr>
        <w:t>.</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Total HSA Assets grew </w:t>
      </w:r>
      <w:r>
        <w:rPr>
          <w:rFonts w:ascii="Arial" w:cs="Arial" w:eastAsia="Arial" w:hAnsi="Arial"/>
          <w:sz w:val="18"/>
          <w:szCs w:val="18"/>
          <w:b w:val="1"/>
          <w:bCs w:val="1"/>
          <w:color w:val="auto"/>
        </w:rPr>
        <w:t>19%</w:t>
      </w:r>
      <w:r>
        <w:rPr>
          <w:rFonts w:ascii="Arial" w:cs="Arial" w:eastAsia="Arial" w:hAnsi="Arial"/>
          <w:sz w:val="18"/>
          <w:szCs w:val="18"/>
          <w:color w:val="auto"/>
        </w:rPr>
        <w:t xml:space="preserve"> to </w:t>
      </w:r>
      <w:r>
        <w:rPr>
          <w:rFonts w:ascii="Arial" w:cs="Arial" w:eastAsia="Arial" w:hAnsi="Arial"/>
          <w:sz w:val="18"/>
          <w:szCs w:val="18"/>
          <w:b w:val="1"/>
          <w:bCs w:val="1"/>
          <w:color w:val="auto"/>
        </w:rPr>
        <w:t>$37.1 billion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Returned </w:t>
      </w:r>
      <w:r>
        <w:rPr>
          <w:rFonts w:ascii="Arial" w:cs="Arial" w:eastAsia="Arial" w:hAnsi="Arial"/>
          <w:sz w:val="18"/>
          <w:szCs w:val="18"/>
          <w:b w:val="1"/>
          <w:bCs w:val="1"/>
          <w:color w:val="auto"/>
        </w:rPr>
        <w:t>$123.0 million</w:t>
      </w:r>
      <w:r>
        <w:rPr>
          <w:rFonts w:ascii="Arial" w:cs="Arial" w:eastAsia="Arial" w:hAnsi="Arial"/>
          <w:sz w:val="18"/>
          <w:szCs w:val="18"/>
          <w:color w:val="auto"/>
        </w:rPr>
        <w:t xml:space="preserve"> to shareholders through stock repurchases.</w:t>
      </w:r>
    </w:p>
    <w:p>
      <w:pPr>
        <w:spacing w:after="0" w:line="342"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b w:val="1"/>
          <w:bCs w:val="1"/>
          <w:color w:val="auto"/>
        </w:rPr>
        <w:t xml:space="preserve">Draper, Utah – May 28, 2026 </w:t>
      </w:r>
      <w:r>
        <w:rPr>
          <w:rFonts w:ascii="Arial" w:cs="Arial" w:eastAsia="Arial" w:hAnsi="Arial"/>
          <w:sz w:val="18"/>
          <w:szCs w:val="18"/>
          <w:color w:val="auto"/>
        </w:rPr>
        <w:t>– HealthEquity, Inc. (NASDAQ: HQY) ("HealthEquity" or the "Company"), the largest independent health</w:t>
      </w:r>
      <w:r>
        <w:rPr>
          <w:rFonts w:ascii="Arial" w:cs="Arial" w:eastAsia="Arial" w:hAnsi="Arial"/>
          <w:sz w:val="18"/>
          <w:szCs w:val="18"/>
          <w:b w:val="1"/>
          <w:bCs w:val="1"/>
          <w:color w:val="auto"/>
        </w:rPr>
        <w:t xml:space="preserve"> </w:t>
      </w:r>
      <w:r>
        <w:rPr>
          <w:rFonts w:ascii="Arial" w:cs="Arial" w:eastAsia="Arial" w:hAnsi="Arial"/>
          <w:sz w:val="18"/>
          <w:szCs w:val="18"/>
          <w:color w:val="auto"/>
        </w:rPr>
        <w:t>savings account ("HSA") custodian by account volume and a leader in consumer-directed benefits ("CDBs"), today announced financial results for its first quarter ended April 30, 2026.</w:t>
      </w:r>
    </w:p>
    <w:p>
      <w:pPr>
        <w:spacing w:after="0" w:line="22" w:lineRule="exact"/>
        <w:rPr>
          <w:sz w:val="20"/>
          <w:szCs w:val="20"/>
          <w:color w:val="auto"/>
        </w:rPr>
      </w:pPr>
    </w:p>
    <w:p>
      <w:pPr>
        <w:ind w:right="100"/>
        <w:spacing w:after="0" w:line="226" w:lineRule="exact"/>
        <w:rPr>
          <w:sz w:val="20"/>
          <w:szCs w:val="20"/>
          <w:color w:val="auto"/>
        </w:rPr>
      </w:pPr>
      <w:r>
        <w:rPr>
          <w:rFonts w:ascii="Arial" w:cs="Arial" w:eastAsia="Arial" w:hAnsi="Arial"/>
          <w:sz w:val="18"/>
          <w:szCs w:val="18"/>
          <w:color w:val="auto"/>
        </w:rPr>
        <w:t>"HealthEquity delivered strong first</w:t>
      </w:r>
      <w:r>
        <w:rPr>
          <w:rFonts w:ascii="MS PGothic" w:cs="MS PGothic" w:eastAsia="MS PGothic" w:hAnsi="MS PGothic"/>
          <w:sz w:val="18"/>
          <w:szCs w:val="18"/>
          <w:color w:val="auto"/>
        </w:rPr>
        <w:t>‑</w:t>
      </w:r>
      <w:r>
        <w:rPr>
          <w:rFonts w:ascii="Arial" w:cs="Arial" w:eastAsia="Arial" w:hAnsi="Arial"/>
          <w:sz w:val="18"/>
          <w:szCs w:val="18"/>
          <w:color w:val="auto"/>
        </w:rPr>
        <w:t xml:space="preserve"> quarter results, with Adjusted EBITDA margin expanding to 46% and a raised fiscal 2027 outlook," said Scott Cutler, President and CEO of HealthEquity. "These results demonstrate that our flywheel is compounding through account and asset growth, deeper member engagement, technology</w:t>
      </w:r>
      <w:r>
        <w:rPr>
          <w:rFonts w:ascii="MS PGothic" w:cs="MS PGothic" w:eastAsia="MS PGothic" w:hAnsi="MS PGothic"/>
          <w:sz w:val="18"/>
          <w:szCs w:val="18"/>
          <w:color w:val="auto"/>
        </w:rPr>
        <w:t>‑</w:t>
      </w:r>
      <w:r>
        <w:rPr>
          <w:rFonts w:ascii="Arial" w:cs="Arial" w:eastAsia="Arial" w:hAnsi="Arial"/>
          <w:sz w:val="18"/>
          <w:szCs w:val="18"/>
          <w:color w:val="auto"/>
        </w:rPr>
        <w:t>enabled efficiency, and increasing operating leverage. As healthcare affordability structurally shifts more responsibility to consumers, demand for trusted healthcare financial solutions continues to expand. Our authorization of an additional $1 billion under our share repurchase program reflects our confidence in the durability and long-term cash-generating power of our model."</w:t>
      </w:r>
    </w:p>
    <w:p>
      <w:pPr>
        <w:spacing w:after="0" w:line="8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HealthEquity’s growth model is built on two reinforcing drivers: growth in member accounts and their HSA Assets over time and expansion in the lifetime value of each member relationship as engagement and activity increase. As accounts mature, these dynamics can compound, supporting durable growth and margin expansion while reducing reliance on short-term employment trends and new account additions in any single period.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results</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for the first quarter ended April 30, 2026 was $354.6 million, an increase of 7% compared to $330.8 million for the first quarter ended April 30, 2025. Revenue this quarter included: service revenue of $122.9 million, custodial revenue of $174.3 million, and interchange revenue of $57.4 million.</w:t>
      </w:r>
    </w:p>
    <w:p>
      <w:pPr>
        <w:spacing w:after="0" w:line="63"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Net income was $69.4 million, or $0.82 per diluted share, for the first quarter ended April 30, 2026, compared to $53.9 million, or $0.61 per diluted share, for the first quarter ended April 30, 2025. Net income margin was 20% for the first quarter ended April 30, 2026, compared to 16% for the first quarter ended April 30, 2025.</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Non-GAAP net income was $105.1 million, or $1.24 per diluted share, for the first quarter ended April 30, 2026, compared to $85.8 million, or $0.97 per diluted share, for the first quarter ended April 30, 2025.</w:t>
      </w:r>
    </w:p>
    <w:p>
      <w:pPr>
        <w:spacing w:after="0" w:line="4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Adjusted EBITDA was $ 164.5 million for the first quarter ended April 30, 2026, an increase of 17% compared to the first quarter ended April 30, 2025. Adjusted EBITDA was 46% of revenue, compared to 42% for the first quarter ended April 30, 2025.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 and asset metrics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HSAs as of April 30, 2026 were 10.6 million, an increase of 8% year over year, including 909,000 HSAs with investments, an increase of 18% year over year. Total Accounts as of April 30, 2026 were 17.8 million, including 7.2 million complementary CDBs.</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Total HSA Assets as of April 30, 2026 were $37.1 billion, an increase of 19% year over year. Total HSA Assets included $ 17.5 billion of HSA cash and $19.6 billion of HSA investments. Client-held funds, which are deposits held on behalf of our Clients to facilitate administration of our CDBs, and from which we generate custodial revenue, were $1.0 billion as of 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8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Stock repurchase program</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Company repurchased 1.5 million shares of its common stock for $123.0 million during the first quarter ended April 30, 2026. In May 2026, the Company's board of directors authorized an additional $1.0 billion of common stock repurchases under the program.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fiscal year ending January 31, 2027, management expects revenues of $1.410 billion to $1.420 billion. Its outlook for net income is between $ 242 million and $248 million, resulting in net income of $2.88 to $2.95 per diluted share. Its outlook for non-GAAP net income, calculated using the method described below, is between $ 392 million and $398 million, resulting in non-GAAP net income per diluted share of $4.66 to $4.73 (based on an estimated 84 million diluted weighted-average shares outstanding). Management expects Adjusted EBITDA of $625 million to $633 million.</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See “Non-GAAP financial information” below for definitions of our Adjusted EBITDA and non-GAAP net income. A reconciliation of the non-GAAP financial measures used throughout this release to the most comparable GAAP financial measures is included with the financial tables at the end of this release.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HealthEquity management will host a conference call at 4:30 pm (Eastern Time) on Thursday, May 28, 2026 to discuss the fiscal 2027 first quarter financial results. The conference call will be accessible by dialing 1-833-630-1956, or 1-412-317-1837 for international callers, and referencing conference ID "HealthEquity." A live audio webcast of the call will be available on the investor relations section of our website at http://ir.healthequity.com.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To supplement our financial information presented on a GAAP basis, we disclose non-GAAP financial measures, including Adjusted EBITDA, non-GAAP net income, and non-GAAP net income per diluted share.</w:t>
      </w:r>
    </w:p>
    <w:p>
      <w:pPr>
        <w:spacing w:after="0" w:line="45" w:lineRule="exact"/>
        <w:rPr>
          <w:sz w:val="20"/>
          <w:szCs w:val="20"/>
          <w:color w:val="auto"/>
        </w:rPr>
      </w:pPr>
    </w:p>
    <w:p>
      <w:pPr>
        <w:jc w:val="both"/>
        <w:ind w:left="660" w:right="80" w:hanging="328"/>
        <w:spacing w:after="0" w:line="29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is 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w:t>
      </w:r>
    </w:p>
    <w:p>
      <w:pPr>
        <w:spacing w:after="0" w:line="44" w:lineRule="exact"/>
        <w:rPr>
          <w:rFonts w:ascii="Arial" w:cs="Arial" w:eastAsia="Arial" w:hAnsi="Arial"/>
          <w:sz w:val="17"/>
          <w:szCs w:val="17"/>
          <w:color w:val="auto"/>
        </w:rPr>
      </w:pPr>
    </w:p>
    <w:p>
      <w:pPr>
        <w:ind w:left="660" w:right="4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is calculated by adding back to GAAP net income before income taxes the following items: amortization of acquired intangible assets, stock-based compensation expense, merger integration expenses, acquisition costs, gains and losses on equity securities, costs associated with unused office space, and losses on extinguishment of debt, and subtracting a non-GAAP tax provision using a normalized non-GAAP tax rate.</w:t>
      </w:r>
    </w:p>
    <w:p>
      <w:pPr>
        <w:spacing w:after="0" w:line="68"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per diluted share is calculated by dividing non-GAAP net income by diluted weighted-average shares outstanding.</w:t>
      </w:r>
    </w:p>
    <w:p>
      <w:pPr>
        <w:spacing w:after="0" w:line="4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Non-GAAP financial measures should be considered in addition to results prepared in accordance with GAAP and should not be considered as a substitute for, or superior to, GAAP results. We believe that these non-GAAP financial measures provide useful information to management and investors regarding certain financial and business trends relating to the Company's financial condition and results of operations. The Company cautions investors that non-GAAP financial information, by its nature, departs from GAAP; accordingly, its use can make it difficult to compare current results with results from other reporting periods and with the results of other companies. In addition, while amortization of acquired intangible assets is being excluded from non-GAAP financial measures, the revenue generated from those acquired intangible assets is not excluded. Whenever we use these non-GAAP financial measures, we provide a reconciliation of the applicable non-GAAP financial measure to the most closely applicable GAAP financial measure. Investors are encouraged to review the related GAAP financial measures and the reconciliation of the non-GAAP financial measures to their most directly comparable GAAP financial measure as detailed in the tables below.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HealthEquity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HealthEquity and its subsidiaries administer HSAs and other consumer-directed benefits for more than 17 million accounts in partnership with employers, benefits advisors, and health and retirement plan providers who share our mission to save and improve lives by empowering healthcare consumers. For more information, visit www.healthequity.com.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0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statements regarding our industry, business strategy, plans, goals and expectations concerning our markets and market position, product expansion, future operations, expenses and other results of operations, revenue, margins, profitability, acquisition synergies, future efficiencies, tax rates, capital expenditures, liquidity and capital resources and other financial and operating information. When used in this discussion, the words “may,” “believes,” “intends,” “seeks,” “aims,” “anticipates,” “plans,” “estimates,” “expects,” “should,” “assumes,” “continues,” “could,” “will,” “future” and the negative of these or similar terms and phrases are intended to identify forward-looking statements in this press release.</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be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risks related to the following:</w:t>
      </w:r>
    </w:p>
    <w:p>
      <w:pPr>
        <w:spacing w:after="0" w:line="74" w:lineRule="exact"/>
        <w:rPr>
          <w:sz w:val="20"/>
          <w:szCs w:val="20"/>
          <w:color w:val="auto"/>
        </w:rPr>
      </w:pPr>
    </w:p>
    <w:p>
      <w:pPr>
        <w:ind w:left="660" w:right="52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place and safeguard our custodial assets, or the failure of any of our depository or insurance company partners;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 in a rapidly evolving healthcare and benefits administration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the continued availability and benefits of tax-advantaged HSAs and other CDBs;</w:t>
      </w:r>
    </w:p>
    <w:p>
      <w:pPr>
        <w:spacing w:after="0" w:line="63" w:lineRule="exact"/>
        <w:rPr>
          <w:rFonts w:ascii="Arial" w:cs="Arial" w:eastAsia="Arial" w:hAnsi="Arial"/>
          <w:sz w:val="18"/>
          <w:szCs w:val="18"/>
          <w:color w:val="auto"/>
        </w:rPr>
      </w:pPr>
    </w:p>
    <w:p>
      <w:pPr>
        <w:ind w:left="660" w:right="34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fraudulent account activity involving our member accounts or our third-party service providers on our reputation and financial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additional portfolio purchases or acquisition targets;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significant competition we face and may face in the future, including from those with greater resources than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the availability and performance of our technology and communications systems;</w:t>
      </w:r>
    </w:p>
    <w:p>
      <w:pPr>
        <w:spacing w:after="0" w:line="63" w:lineRule="exact"/>
        <w:rPr>
          <w:rFonts w:ascii="Arial" w:cs="Arial" w:eastAsia="Arial" w:hAnsi="Arial"/>
          <w:sz w:val="18"/>
          <w:szCs w:val="18"/>
          <w:color w:val="auto"/>
        </w:rPr>
      </w:pPr>
    </w:p>
    <w:p>
      <w:pPr>
        <w:ind w:left="660" w:right="60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future cybersecurity breaches of our technology and communications systems and other data interruptions, including resulting costs and liabilities, reputational damage and loss of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uncertain healthcare environment, including changes in healthcare programs and expenditures and related regulations;</w:t>
      </w:r>
    </w:p>
    <w:p>
      <w:pPr>
        <w:spacing w:after="0" w:line="63" w:lineRule="exact"/>
        <w:rPr>
          <w:rFonts w:ascii="Arial" w:cs="Arial" w:eastAsia="Arial" w:hAnsi="Arial"/>
          <w:sz w:val="18"/>
          <w:szCs w:val="18"/>
          <w:color w:val="auto"/>
        </w:rPr>
      </w:pPr>
    </w:p>
    <w:p>
      <w:pPr>
        <w:ind w:left="660" w:right="44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current and future privacy, healthcare, tax, ERISA, investment adviser and other laws applicable to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partners and third-party vendors for distribution and important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implement updated features for our technology platforms and communications systems;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our management team and key team members.</w:t>
      </w:r>
    </w:p>
    <w:p>
      <w:pPr>
        <w:spacing w:after="0" w:line="117"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color w:val="auto"/>
        </w:rPr>
        <w:t>For a detailed discussion of these and other risk factors, please refer to the risks detailed in our filings with the Securities and Exchange Commission, including, without limitation, our Annual Report on Form 10-K for the fiscal year ended January 31, 2026 and subsequent periodic and current reports. Past performance is not necessarily indicative of future results. We undertake no intention or obligation to update or revise any forward-looking statements, whether as a result of new information, future events or otherwise. Forward-looking statements should not be relied upon as representing our views as of any date subsequent to the date of this press release.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Richard Putnam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801-727-1000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rputnam@healthequity.com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0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HealthEquity,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par value)</w:t>
            </w:r>
          </w:p>
        </w:tc>
        <w:tc>
          <w:tcPr>
            <w:tcW w:w="5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April 30, 2026</w:t>
            </w: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2026</w:t>
            </w:r>
          </w:p>
        </w:tc>
        <w:tc>
          <w:tcPr>
            <w:tcW w:w="0" w:type="dxa"/>
            <w:vAlign w:val="bottom"/>
          </w:tcPr>
          <w:p>
            <w:pPr>
              <w:spacing w:after="0"/>
              <w:rPr>
                <w:sz w:val="1"/>
                <w:szCs w:val="1"/>
                <w:color w:val="auto"/>
              </w:rPr>
            </w:pPr>
          </w:p>
        </w:tc>
      </w:tr>
      <w:tr>
        <w:trPr>
          <w:trHeight w:val="197"/>
        </w:trPr>
        <w:tc>
          <w:tcPr>
            <w:tcW w:w="7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(unaudited)</w:t>
            </w: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265,369</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318,927</w:t>
            </w: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Accounts receivable, net of allowance for doubtful accounts of $953 and $924 as of April 30, 2026 and</w:t>
            </w:r>
          </w:p>
        </w:tc>
        <w:tc>
          <w:tcPr>
            <w:tcW w:w="5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122,003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123,696</w:t>
            </w:r>
          </w:p>
        </w:tc>
        <w:tc>
          <w:tcPr>
            <w:tcW w:w="0" w:type="dxa"/>
            <w:vAlign w:val="bottom"/>
          </w:tcPr>
          <w:p>
            <w:pPr>
              <w:spacing w:after="0"/>
              <w:rPr>
                <w:sz w:val="1"/>
                <w:szCs w:val="1"/>
                <w:color w:val="auto"/>
              </w:rPr>
            </w:pPr>
          </w:p>
        </w:tc>
      </w:tr>
      <w:tr>
        <w:trPr>
          <w:trHeight w:val="185"/>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31, 2026, respectively</w:t>
            </w:r>
          </w:p>
        </w:tc>
        <w:tc>
          <w:tcPr>
            <w:tcW w:w="52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79,156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69,658</w:t>
            </w:r>
          </w:p>
        </w:tc>
        <w:tc>
          <w:tcPr>
            <w:tcW w:w="0" w:type="dxa"/>
            <w:vAlign w:val="bottom"/>
          </w:tcPr>
          <w:p>
            <w:pPr>
              <w:spacing w:after="0"/>
              <w:rPr>
                <w:sz w:val="1"/>
                <w:szCs w:val="1"/>
                <w:color w:val="auto"/>
              </w:rPr>
            </w:pPr>
          </w:p>
        </w:tc>
      </w:tr>
      <w:tr>
        <w:trPr>
          <w:trHeight w:val="200"/>
        </w:trPr>
        <w:tc>
          <w:tcPr>
            <w:tcW w:w="7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assets</w:t>
            </w:r>
          </w:p>
        </w:tc>
        <w:tc>
          <w:tcPr>
            <w:tcW w:w="5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466,528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512,281</w:t>
            </w:r>
          </w:p>
        </w:tc>
        <w:tc>
          <w:tcPr>
            <w:tcW w:w="0" w:type="dxa"/>
            <w:vAlign w:val="bottom"/>
          </w:tcPr>
          <w:p>
            <w:pPr>
              <w:spacing w:after="0"/>
              <w:rPr>
                <w:sz w:val="1"/>
                <w:szCs w:val="1"/>
                <w:color w:val="auto"/>
              </w:rPr>
            </w:pPr>
          </w:p>
        </w:tc>
      </w:tr>
      <w:tr>
        <w:trPr>
          <w:trHeight w:val="192"/>
        </w:trPr>
        <w:tc>
          <w:tcPr>
            <w:tcW w:w="7340" w:type="dxa"/>
            <w:vAlign w:val="bottom"/>
          </w:tcPr>
          <w:p>
            <w:pPr>
              <w:ind w:left="140"/>
              <w:spacing w:after="0"/>
              <w:rPr>
                <w:sz w:val="20"/>
                <w:szCs w:val="20"/>
                <w:color w:val="auto"/>
              </w:rPr>
            </w:pPr>
            <w:r>
              <w:rPr>
                <w:rFonts w:ascii="Arial" w:cs="Arial" w:eastAsia="Arial" w:hAnsi="Arial"/>
                <w:sz w:val="14"/>
                <w:szCs w:val="14"/>
                <w:color w:val="auto"/>
              </w:rPr>
              <w:t>Property and equipment, net</w:t>
            </w:r>
          </w:p>
        </w:tc>
        <w:tc>
          <w:tcPr>
            <w:tcW w:w="5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3,177</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right-of-use assets</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34,578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36,310</w:t>
            </w:r>
          </w:p>
        </w:tc>
        <w:tc>
          <w:tcPr>
            <w:tcW w:w="0" w:type="dxa"/>
            <w:vAlign w:val="bottom"/>
          </w:tcPr>
          <w:p>
            <w:pPr>
              <w:spacing w:after="0"/>
              <w:rPr>
                <w:sz w:val="1"/>
                <w:szCs w:val="1"/>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Intangible assets, net</w:t>
            </w:r>
          </w:p>
        </w:tc>
        <w:tc>
          <w:tcPr>
            <w:tcW w:w="5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1,073,045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1,097,172</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1,648,145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1,648,145</w:t>
            </w:r>
          </w:p>
        </w:tc>
        <w:tc>
          <w:tcPr>
            <w:tcW w:w="0" w:type="dxa"/>
            <w:vAlign w:val="bottom"/>
          </w:tcPr>
          <w:p>
            <w:pPr>
              <w:spacing w:after="0"/>
              <w:rPr>
                <w:sz w:val="1"/>
                <w:szCs w:val="1"/>
                <w:color w:val="auto"/>
              </w:rPr>
            </w:pPr>
          </w:p>
        </w:tc>
      </w:tr>
      <w:tr>
        <w:trPr>
          <w:trHeight w:val="198"/>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assets</w:t>
            </w: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80,090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83,247</w:t>
            </w:r>
          </w:p>
        </w:tc>
        <w:tc>
          <w:tcPr>
            <w:tcW w:w="0" w:type="dxa"/>
            <w:vAlign w:val="bottom"/>
          </w:tcPr>
          <w:p>
            <w:pPr>
              <w:spacing w:after="0"/>
              <w:rPr>
                <w:sz w:val="1"/>
                <w:szCs w:val="1"/>
                <w:color w:val="auto"/>
              </w:rPr>
            </w:pPr>
          </w:p>
        </w:tc>
      </w:tr>
      <w:tr>
        <w:trPr>
          <w:trHeight w:val="200"/>
        </w:trPr>
        <w:tc>
          <w:tcPr>
            <w:tcW w:w="7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3,306,186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3,380,332</w:t>
            </w:r>
          </w:p>
        </w:tc>
        <w:tc>
          <w:tcPr>
            <w:tcW w:w="0" w:type="dxa"/>
            <w:vAlign w:val="bottom"/>
          </w:tcPr>
          <w:p>
            <w:pPr>
              <w:spacing w:after="0"/>
              <w:rPr>
                <w:sz w:val="1"/>
                <w:szCs w:val="1"/>
                <w:color w:val="auto"/>
              </w:rPr>
            </w:pPr>
          </w:p>
        </w:tc>
      </w:tr>
      <w:tr>
        <w:trPr>
          <w:trHeight w:val="182"/>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14,219</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12,159</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60,392</w:t>
            </w:r>
          </w:p>
        </w:tc>
        <w:tc>
          <w:tcPr>
            <w:tcW w:w="0" w:type="dxa"/>
            <w:vAlign w:val="bottom"/>
          </w:tcPr>
          <w:p>
            <w:pPr>
              <w:spacing w:after="0"/>
              <w:rPr>
                <w:sz w:val="1"/>
                <w:szCs w:val="1"/>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5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84,941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74,388</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9,911</w:t>
            </w:r>
          </w:p>
        </w:tc>
        <w:tc>
          <w:tcPr>
            <w:tcW w:w="0" w:type="dxa"/>
            <w:vAlign w:val="bottom"/>
          </w:tcPr>
          <w:p>
            <w:pPr>
              <w:spacing w:after="0"/>
              <w:rPr>
                <w:sz w:val="1"/>
                <w:szCs w:val="1"/>
                <w:color w:val="auto"/>
              </w:rPr>
            </w:pPr>
          </w:p>
        </w:tc>
      </w:tr>
      <w:tr>
        <w:trPr>
          <w:trHeight w:val="192"/>
        </w:trPr>
        <w:tc>
          <w:tcPr>
            <w:tcW w:w="734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5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135,740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156,850</w:t>
            </w:r>
          </w:p>
        </w:tc>
        <w:tc>
          <w:tcPr>
            <w:tcW w:w="0" w:type="dxa"/>
            <w:vAlign w:val="bottom"/>
          </w:tcPr>
          <w:p>
            <w:pPr>
              <w:spacing w:after="0"/>
              <w:rPr>
                <w:sz w:val="1"/>
                <w:szCs w:val="1"/>
                <w:color w:val="auto"/>
              </w:rPr>
            </w:pP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liabilities</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40" w:type="dxa"/>
            <w:vAlign w:val="bottom"/>
          </w:tcPr>
          <w:p>
            <w:pPr>
              <w:ind w:left="140"/>
              <w:spacing w:after="0"/>
              <w:rPr>
                <w:sz w:val="20"/>
                <w:szCs w:val="20"/>
                <w:color w:val="auto"/>
              </w:rPr>
            </w:pPr>
            <w:r>
              <w:rPr>
                <w:rFonts w:ascii="Arial" w:cs="Arial" w:eastAsia="Arial" w:hAnsi="Arial"/>
                <w:sz w:val="14"/>
                <w:szCs w:val="14"/>
                <w:color w:val="auto"/>
              </w:rPr>
              <w:t>Long-term debt, net of issuance costs</w:t>
            </w:r>
          </w:p>
        </w:tc>
        <w:tc>
          <w:tcPr>
            <w:tcW w:w="5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942,656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957,379</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non-current</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34,190</w:t>
            </w:r>
          </w:p>
        </w:tc>
        <w:tc>
          <w:tcPr>
            <w:tcW w:w="0" w:type="dxa"/>
            <w:vAlign w:val="bottom"/>
          </w:tcPr>
          <w:p>
            <w:pPr>
              <w:spacing w:after="0"/>
              <w:rPr>
                <w:sz w:val="1"/>
                <w:szCs w:val="1"/>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Other long-term liabilities</w:t>
            </w:r>
          </w:p>
        </w:tc>
        <w:tc>
          <w:tcPr>
            <w:tcW w:w="5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52,932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31,007</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liability</w:t>
            </w:r>
          </w:p>
        </w:tc>
        <w:tc>
          <w:tcPr>
            <w:tcW w:w="5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95,353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93,710</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long-term liabilities</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1,123,051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1,116,286</w:t>
            </w:r>
          </w:p>
        </w:tc>
        <w:tc>
          <w:tcPr>
            <w:tcW w:w="0" w:type="dxa"/>
            <w:vAlign w:val="bottom"/>
          </w:tcPr>
          <w:p>
            <w:pPr>
              <w:spacing w:after="0"/>
              <w:rPr>
                <w:sz w:val="1"/>
                <w:szCs w:val="1"/>
                <w:color w:val="auto"/>
              </w:rPr>
            </w:pPr>
          </w:p>
        </w:tc>
      </w:tr>
      <w:tr>
        <w:trPr>
          <w:trHeight w:val="200"/>
        </w:trPr>
        <w:tc>
          <w:tcPr>
            <w:tcW w:w="7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1,258,791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1,273,136</w:t>
            </w:r>
          </w:p>
        </w:tc>
        <w:tc>
          <w:tcPr>
            <w:tcW w:w="0" w:type="dxa"/>
            <w:vAlign w:val="bottom"/>
          </w:tcPr>
          <w:p>
            <w:pPr>
              <w:spacing w:after="0"/>
              <w:rPr>
                <w:sz w:val="1"/>
                <w:szCs w:val="1"/>
                <w:color w:val="auto"/>
              </w:rPr>
            </w:pPr>
          </w:p>
        </w:tc>
      </w:tr>
      <w:tr>
        <w:trPr>
          <w:trHeight w:val="199"/>
        </w:trPr>
        <w:tc>
          <w:tcPr>
            <w:tcW w:w="73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340" w:type="dxa"/>
            <w:vAlign w:val="bottom"/>
          </w:tcPr>
          <w:p>
            <w:pPr>
              <w:ind w:left="140"/>
              <w:spacing w:after="0" w:line="153" w:lineRule="exact"/>
              <w:rPr>
                <w:sz w:val="20"/>
                <w:szCs w:val="20"/>
                <w:color w:val="auto"/>
              </w:rPr>
            </w:pPr>
            <w:r>
              <w:rPr>
                <w:rFonts w:ascii="Arial" w:cs="Arial" w:eastAsia="Arial" w:hAnsi="Arial"/>
                <w:sz w:val="14"/>
                <w:szCs w:val="14"/>
                <w:color w:val="auto"/>
              </w:rPr>
              <w:t>Preferred stock, $0.0001 par value, 100,000 shares authorized, no shares issued and outstanding as of April 30,</w:t>
            </w:r>
          </w:p>
        </w:tc>
        <w:tc>
          <w:tcPr>
            <w:tcW w:w="520" w:type="dxa"/>
            <w:vAlign w:val="bottom"/>
          </w:tcPr>
          <w:p>
            <w:pPr>
              <w:spacing w:after="0"/>
              <w:rPr>
                <w:sz w:val="13"/>
                <w:szCs w:val="13"/>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340" w:type="dxa"/>
            <w:vAlign w:val="bottom"/>
          </w:tcPr>
          <w:p>
            <w:pPr>
              <w:ind w:left="140"/>
              <w:spacing w:after="0"/>
              <w:rPr>
                <w:sz w:val="20"/>
                <w:szCs w:val="20"/>
                <w:color w:val="auto"/>
              </w:rPr>
            </w:pPr>
            <w:r>
              <w:rPr>
                <w:rFonts w:ascii="Arial" w:cs="Arial" w:eastAsia="Arial" w:hAnsi="Arial"/>
                <w:sz w:val="14"/>
                <w:szCs w:val="14"/>
                <w:color w:val="auto"/>
              </w:rPr>
              <w:t>2026 and January 31, 2026, respectively</w:t>
            </w:r>
          </w:p>
        </w:tc>
        <w:tc>
          <w:tcPr>
            <w:tcW w:w="5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3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$0.0001 par value, 900,000 shares authorized, 83,927 and 85,007 shares issued and</w:t>
            </w:r>
          </w:p>
        </w:tc>
        <w:tc>
          <w:tcPr>
            <w:tcW w:w="5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5"/>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 as of April 30, 2026 and January 31, 2026, respectively</w:t>
            </w:r>
          </w:p>
        </w:tc>
        <w:tc>
          <w:tcPr>
            <w:tcW w:w="52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5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1,901,935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1,916,989</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earnings</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177,204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195,906</w:t>
            </w:r>
          </w:p>
        </w:tc>
        <w:tc>
          <w:tcPr>
            <w:tcW w:w="0" w:type="dxa"/>
            <w:vAlign w:val="bottom"/>
          </w:tcPr>
          <w:p>
            <w:pPr>
              <w:spacing w:after="0"/>
              <w:rPr>
                <w:sz w:val="1"/>
                <w:szCs w:val="1"/>
                <w:color w:val="auto"/>
              </w:rPr>
            </w:pPr>
          </w:p>
        </w:tc>
      </w:tr>
      <w:tr>
        <w:trPr>
          <w:trHeight w:val="19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(31,752)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(5,707)</w:t>
            </w:r>
          </w:p>
        </w:tc>
        <w:tc>
          <w:tcPr>
            <w:tcW w:w="0" w:type="dxa"/>
            <w:vAlign w:val="bottom"/>
          </w:tcPr>
          <w:p>
            <w:pPr>
              <w:spacing w:after="0"/>
              <w:rPr>
                <w:sz w:val="1"/>
                <w:szCs w:val="1"/>
                <w:color w:val="auto"/>
              </w:rPr>
            </w:pPr>
          </w:p>
        </w:tc>
      </w:tr>
      <w:tr>
        <w:trPr>
          <w:trHeight w:val="200"/>
        </w:trPr>
        <w:tc>
          <w:tcPr>
            <w:tcW w:w="7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5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2,047,395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2,107,196</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liabilities and stockholders’ equity</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3,306,186</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3,380,332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6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HealthEquity,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Service revenue</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122,932</w:t>
            </w:r>
          </w:p>
        </w:tc>
        <w:tc>
          <w:tcPr>
            <w:tcW w:w="100" w:type="dxa"/>
            <w:vAlign w:val="bottom"/>
          </w:tcPr>
          <w:p>
            <w:pPr>
              <w:spacing w:after="0"/>
              <w:rPr>
                <w:sz w:val="17"/>
                <w:szCs w:val="17"/>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119,784</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Custodial revenue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174,334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156,455</w:t>
            </w:r>
          </w:p>
        </w:tc>
      </w:tr>
      <w:tr>
        <w:trPr>
          <w:trHeight w:val="198"/>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Interchange revenue</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57,375</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54,605</w:t>
            </w:r>
          </w:p>
        </w:tc>
      </w:tr>
      <w:tr>
        <w:trPr>
          <w:trHeight w:val="200"/>
        </w:trPr>
        <w:tc>
          <w:tcPr>
            <w:tcW w:w="7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revenue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354,641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330,844</w:t>
            </w: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costs</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78,326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88,005</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Custodial costs</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11,655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10,747</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Interchange costs</w:t>
            </w: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8,348</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7,781</w:t>
            </w:r>
          </w:p>
        </w:tc>
      </w:tr>
      <w:tr>
        <w:trPr>
          <w:trHeight w:val="192"/>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cost of revenue</w:t>
            </w: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98,329</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106,533</w:t>
            </w: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256,312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224,311</w:t>
            </w:r>
          </w:p>
        </w:tc>
      </w:tr>
      <w:tr>
        <w:trPr>
          <w:trHeight w:val="199"/>
        </w:trPr>
        <w:tc>
          <w:tcPr>
            <w:tcW w:w="73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25,984</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Technology and development</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67,767</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61,436</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31,131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25,536</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26,515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27,002</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Merger integration</w:t>
            </w: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w:t>
            </w:r>
          </w:p>
        </w:tc>
      </w:tr>
      <w:tr>
        <w:trPr>
          <w:trHeight w:val="192"/>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operating expenses</w:t>
            </w: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153,359</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141,233</w:t>
            </w: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102,953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83,078</w:t>
            </w: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(14,858)</w:t>
            </w:r>
          </w:p>
        </w:tc>
      </w:tr>
      <w:tr>
        <w:trPr>
          <w:trHeight w:val="198"/>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net</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2,048</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2,733</w:t>
            </w:r>
          </w:p>
        </w:tc>
      </w:tr>
      <w:tr>
        <w:trPr>
          <w:trHeight w:val="200"/>
        </w:trPr>
        <w:tc>
          <w:tcPr>
            <w:tcW w:w="7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other expense</w:t>
            </w: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(10,540)</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(12,125)</w:t>
            </w:r>
          </w:p>
        </w:tc>
      </w:tr>
      <w:tr>
        <w:trPr>
          <w:trHeight w:val="192"/>
        </w:trPr>
        <w:tc>
          <w:tcPr>
            <w:tcW w:w="73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7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92,413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70,953</w:t>
            </w: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w:t>
            </w: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22,995</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17,038</w:t>
            </w:r>
          </w:p>
        </w:tc>
      </w:tr>
      <w:tr>
        <w:trPr>
          <w:trHeight w:val="192"/>
        </w:trPr>
        <w:tc>
          <w:tcPr>
            <w:tcW w:w="734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69,418</w:t>
            </w:r>
          </w:p>
        </w:tc>
        <w:tc>
          <w:tcPr>
            <w:tcW w:w="100" w:type="dxa"/>
            <w:vAlign w:val="bottom"/>
          </w:tcPr>
          <w:p>
            <w:pPr>
              <w:spacing w:after="0"/>
              <w:rPr>
                <w:sz w:val="16"/>
                <w:szCs w:val="16"/>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53,915</w:t>
            </w: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Basic</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0.82</w:t>
            </w:r>
          </w:p>
        </w:tc>
        <w:tc>
          <w:tcPr>
            <w:tcW w:w="100" w:type="dxa"/>
            <w:vAlign w:val="bottom"/>
          </w:tcPr>
          <w:p>
            <w:pPr>
              <w:spacing w:after="0"/>
              <w:rPr>
                <w:sz w:val="17"/>
                <w:szCs w:val="17"/>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0.62</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Weighted-average number of shares used in computing net income per share:</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84,413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86,655</w:t>
            </w:r>
          </w:p>
        </w:tc>
      </w:tr>
      <w:tr>
        <w:trPr>
          <w:trHeight w:val="198"/>
        </w:trPr>
        <w:tc>
          <w:tcPr>
            <w:tcW w:w="7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Diluted</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85,006</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6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HealthEquity,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69,418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53,915</w:t>
            </w: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flow hedges</w:t>
            </w:r>
          </w:p>
        </w:tc>
        <w:tc>
          <w:tcPr>
            <w:tcW w:w="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7340" w:type="dxa"/>
            <w:vAlign w:val="bottom"/>
          </w:tcPr>
          <w:p>
            <w:pPr>
              <w:ind w:left="360"/>
              <w:spacing w:after="0"/>
              <w:rPr>
                <w:sz w:val="20"/>
                <w:szCs w:val="20"/>
                <w:color w:val="auto"/>
              </w:rPr>
            </w:pPr>
            <w:r>
              <w:rPr>
                <w:rFonts w:ascii="Arial" w:cs="Arial" w:eastAsia="Arial" w:hAnsi="Arial"/>
                <w:sz w:val="14"/>
                <w:szCs w:val="14"/>
                <w:color w:val="auto"/>
              </w:rPr>
              <w:t>Net unrealized losses</w:t>
            </w:r>
          </w:p>
        </w:tc>
        <w:tc>
          <w:tcPr>
            <w:tcW w:w="7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(25,897)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Reclassification of net gains included in net income</w:t>
            </w:r>
          </w:p>
        </w:tc>
        <w:tc>
          <w:tcPr>
            <w:tcW w:w="7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change, net of income tax benefit of $8,463 for the three months ended April 30, 2026</w:t>
            </w: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(26,045)</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loss</w:t>
            </w:r>
          </w:p>
        </w:tc>
        <w:tc>
          <w:tcPr>
            <w:tcW w:w="7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(26,045)</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Comprehensive income</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43,373</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6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HealthEquity,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69,418</w:t>
            </w:r>
          </w:p>
        </w:tc>
        <w:tc>
          <w:tcPr>
            <w:tcW w:w="100" w:type="dxa"/>
            <w:vAlign w:val="bottom"/>
          </w:tcPr>
          <w:p>
            <w:pPr>
              <w:spacing w:after="0"/>
              <w:rPr>
                <w:sz w:val="17"/>
                <w:szCs w:val="17"/>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53,915</w:t>
            </w: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38,214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38,741</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14,336</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Amortization of debt discount and issuance costs</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gains on derivatives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10,106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1,324</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8"/>
        </w:trPr>
        <w:tc>
          <w:tcPr>
            <w:tcW w:w="7340" w:type="dxa"/>
            <w:vAlign w:val="bottom"/>
          </w:tcPr>
          <w:p>
            <w:pPr>
              <w:ind w:left="260"/>
              <w:spacing w:after="0"/>
              <w:rPr>
                <w:sz w:val="20"/>
                <w:szCs w:val="20"/>
                <w:color w:val="auto"/>
              </w:rPr>
            </w:pPr>
            <w:r>
              <w:rPr>
                <w:rFonts w:ascii="Arial" w:cs="Arial" w:eastAsia="Arial" w:hAnsi="Arial"/>
                <w:sz w:val="14"/>
                <w:szCs w:val="14"/>
                <w:color w:val="auto"/>
              </w:rPr>
              <w:t>Accounts receivable, net</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1,693</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1,750</w:t>
            </w:r>
          </w:p>
        </w:tc>
      </w:tr>
      <w:tr>
        <w:trPr>
          <w:trHeight w:val="207"/>
        </w:trPr>
        <w:tc>
          <w:tcPr>
            <w:tcW w:w="7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Prepaid expenses and other current and non-current assets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(5,702)</w:t>
            </w:r>
          </w:p>
        </w:tc>
      </w:tr>
      <w:tr>
        <w:trPr>
          <w:trHeight w:val="198"/>
        </w:trPr>
        <w:tc>
          <w:tcPr>
            <w:tcW w:w="7340" w:type="dxa"/>
            <w:vAlign w:val="bottom"/>
          </w:tcPr>
          <w:p>
            <w:pPr>
              <w:ind w:left="260"/>
              <w:spacing w:after="0"/>
              <w:rPr>
                <w:sz w:val="20"/>
                <w:szCs w:val="20"/>
                <w:color w:val="auto"/>
              </w:rPr>
            </w:pPr>
            <w:r>
              <w:rPr>
                <w:rFonts w:ascii="Arial" w:cs="Arial" w:eastAsia="Arial" w:hAnsi="Arial"/>
                <w:sz w:val="14"/>
                <w:szCs w:val="14"/>
                <w:color w:val="auto"/>
              </w:rPr>
              <w:t>Operating lease right-of-use assets</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1,649</w:t>
            </w:r>
          </w:p>
        </w:tc>
      </w:tr>
      <w:tr>
        <w:trPr>
          <w:trHeight w:val="207"/>
        </w:trPr>
        <w:tc>
          <w:tcPr>
            <w:tcW w:w="7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compensation</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(31,242)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(42,210)</w:t>
            </w:r>
          </w:p>
        </w:tc>
      </w:tr>
      <w:tr>
        <w:trPr>
          <w:trHeight w:val="198"/>
        </w:trPr>
        <w:tc>
          <w:tcPr>
            <w:tcW w:w="7340" w:type="dxa"/>
            <w:vAlign w:val="bottom"/>
          </w:tcPr>
          <w:p>
            <w:pPr>
              <w:ind w:left="260"/>
              <w:spacing w:after="0"/>
              <w:rPr>
                <w:sz w:val="20"/>
                <w:szCs w:val="20"/>
                <w:color w:val="auto"/>
              </w:rPr>
            </w:pPr>
            <w:r>
              <w:rPr>
                <w:rFonts w:ascii="Arial" w:cs="Arial" w:eastAsia="Arial" w:hAnsi="Arial"/>
                <w:sz w:val="14"/>
                <w:szCs w:val="14"/>
                <w:color w:val="auto"/>
              </w:rPr>
              <w:t>Accounts payable, accrued liabilities, and other current liabilities</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(873)</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3,422</w:t>
            </w:r>
          </w:p>
        </w:tc>
      </w:tr>
      <w:tr>
        <w:trPr>
          <w:trHeight w:val="207"/>
        </w:trPr>
        <w:tc>
          <w:tcPr>
            <w:tcW w:w="7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Operating lease liabilities, non-current</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r>
      <w:tr>
        <w:trPr>
          <w:trHeight w:val="198"/>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long-term liabilities</w:t>
            </w:r>
          </w:p>
        </w:tc>
        <w:tc>
          <w:tcPr>
            <w:tcW w:w="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2,761</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w:t>
            </w: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97,526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64,738</w:t>
            </w: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software and capitalized software development costs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(16,057)</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Purchases of property and equipment</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derivatives, net</w:t>
            </w:r>
          </w:p>
        </w:tc>
        <w:tc>
          <w:tcPr>
            <w:tcW w:w="6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3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6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(13,904)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(16,143)</w:t>
            </w: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(123,314)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(59,065)</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payments on long-term debt</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Settlement of client-held funds obligation, net</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1,451</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exercise of common stock options</w:t>
            </w:r>
          </w:p>
        </w:tc>
        <w:tc>
          <w:tcPr>
            <w:tcW w:w="6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w:t>
            </w:r>
          </w:p>
        </w:tc>
      </w:tr>
      <w:tr>
        <w:trPr>
          <w:trHeight w:val="192"/>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(137,180)</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(56,649)</w:t>
            </w: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cash and cash equivalents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(53,558)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(8,054)</w:t>
            </w:r>
          </w:p>
        </w:tc>
      </w:tr>
      <w:tr>
        <w:trPr>
          <w:trHeight w:val="19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Beginning cash and cash equivalents</w:t>
            </w:r>
          </w:p>
        </w:tc>
        <w:tc>
          <w:tcPr>
            <w:tcW w:w="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318,927</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295,948</w:t>
            </w:r>
          </w:p>
        </w:tc>
      </w:tr>
      <w:tr>
        <w:trPr>
          <w:trHeight w:val="196"/>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Ending cash and cash equivalents</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265,369</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287,894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HealthEquity,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 (continued)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04"/>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cash flow data:</w:t>
            </w: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140"/>
              <w:spacing w:after="0"/>
              <w:rPr>
                <w:sz w:val="20"/>
                <w:szCs w:val="20"/>
                <w:color w:val="auto"/>
              </w:rPr>
            </w:pPr>
            <w:r>
              <w:rPr>
                <w:rFonts w:ascii="Arial" w:cs="Arial" w:eastAsia="Arial" w:hAnsi="Arial"/>
                <w:sz w:val="14"/>
                <w:szCs w:val="14"/>
                <w:color w:val="auto"/>
              </w:rPr>
              <w:t>Interest expense paid in cash</w:t>
            </w:r>
          </w:p>
        </w:tc>
        <w:tc>
          <w:tcPr>
            <w:tcW w:w="9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18,512</w:t>
            </w:r>
          </w:p>
        </w:tc>
        <w:tc>
          <w:tcPr>
            <w:tcW w:w="8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20,809</w:t>
            </w: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refunds, net</w:t>
            </w: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8"/>
        </w:trPr>
        <w:tc>
          <w:tcPr>
            <w:tcW w:w="7120" w:type="dxa"/>
            <w:vAlign w:val="bottom"/>
          </w:tcPr>
          <w:p>
            <w:pPr>
              <w:ind w:left="2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1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Purchases of software and capitalized software development costs included in accounts payable, accrued</w:t>
            </w:r>
          </w:p>
        </w:tc>
        <w:tc>
          <w:tcPr>
            <w:tcW w:w="9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2,001</w:t>
            </w:r>
          </w:p>
        </w:tc>
        <w:tc>
          <w:tcPr>
            <w:tcW w:w="8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0" w:type="dxa"/>
            <w:vAlign w:val="bottom"/>
          </w:tcPr>
          <w:p>
            <w:pPr>
              <w:spacing w:after="0"/>
              <w:rPr>
                <w:sz w:val="1"/>
                <w:szCs w:val="1"/>
                <w:color w:val="auto"/>
              </w:rPr>
            </w:pPr>
          </w:p>
        </w:tc>
      </w:tr>
      <w:tr>
        <w:trPr>
          <w:trHeight w:val="185"/>
        </w:trPr>
        <w:tc>
          <w:tcPr>
            <w:tcW w:w="7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liabilities, or accrued compensation</w:t>
            </w:r>
          </w:p>
        </w:tc>
        <w:tc>
          <w:tcPr>
            <w:tcW w:w="9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140"/>
              <w:spacing w:after="0"/>
              <w:rPr>
                <w:sz w:val="20"/>
                <w:szCs w:val="20"/>
                <w:color w:val="auto"/>
              </w:rPr>
            </w:pPr>
            <w:r>
              <w:rPr>
                <w:rFonts w:ascii="Arial" w:cs="Arial" w:eastAsia="Arial" w:hAnsi="Arial"/>
                <w:sz w:val="14"/>
                <w:szCs w:val="14"/>
                <w:color w:val="auto"/>
              </w:rPr>
              <w:t>Purchases of property and equipment included in accounts payable or accrued liabilities</w:t>
            </w:r>
          </w:p>
        </w:tc>
        <w:tc>
          <w:tcPr>
            <w:tcW w:w="96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765</w:t>
            </w:r>
          </w:p>
        </w:tc>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203"/>
        </w:trPr>
        <w:tc>
          <w:tcPr>
            <w:tcW w:w="7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Repurchases of common stock included in accrued liabilities</w:t>
            </w:r>
          </w:p>
        </w:tc>
        <w:tc>
          <w:tcPr>
            <w:tcW w:w="9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2,858</w:t>
            </w:r>
          </w:p>
        </w:tc>
        <w:tc>
          <w:tcPr>
            <w:tcW w:w="8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 (unaudited)</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stock-based compensation expense included in the condensed consolidated statements of operations and comprehensive income is as follows:</w:t>
      </w:r>
    </w:p>
    <w:tbl>
      <w:tblPr>
        <w:tblLayout w:type="fixed"/>
        <w:tblInd w:w="0" w:type="dxa"/>
        <w:tblCellMar>
          <w:top w:w="0" w:type="dxa"/>
          <w:left w:w="0" w:type="dxa"/>
          <w:bottom w:w="0" w:type="dxa"/>
          <w:right w:w="0" w:type="dxa"/>
        </w:tblCellMar>
      </w:tblPr>
      <w:tr>
        <w:trPr>
          <w:trHeight w:val="194"/>
        </w:trPr>
        <w:tc>
          <w:tcPr>
            <w:tcW w:w="73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w:t>
            </w:r>
          </w:p>
        </w:tc>
        <w:tc>
          <w:tcPr>
            <w:tcW w:w="90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w:t>
            </w: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4,870</w:t>
            </w: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 and development</w:t>
            </w:r>
          </w:p>
        </w:tc>
        <w:tc>
          <w:tcPr>
            <w:tcW w:w="7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5,920</w:t>
            </w:r>
          </w:p>
        </w:tc>
      </w:tr>
      <w:tr>
        <w:trPr>
          <w:trHeight w:val="19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r>
      <w:tr>
        <w:trPr>
          <w:trHeight w:val="196"/>
        </w:trPr>
        <w:tc>
          <w:tcPr>
            <w:tcW w:w="7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stock-based compensation expense</w:t>
            </w: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19,406</w:t>
            </w:r>
          </w:p>
        </w:tc>
        <w:tc>
          <w:tcPr>
            <w:tcW w:w="900" w:type="dxa"/>
            <w:vAlign w:val="bottom"/>
            <w:tcBorders>
              <w:bottom w:val="single" w:sz="8" w:color="auto"/>
            </w:tcBorders>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14,336</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Accounts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April 30, 2026</w:t>
            </w:r>
          </w:p>
        </w:tc>
        <w:tc>
          <w:tcPr>
            <w:tcW w:w="17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April 30, 2025</w:t>
            </w:r>
          </w:p>
        </w:tc>
        <w:tc>
          <w:tcPr>
            <w:tcW w:w="13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2026</w:t>
            </w:r>
          </w:p>
        </w:tc>
      </w:tr>
      <w:tr>
        <w:trPr>
          <w:trHeight w:val="197"/>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HSAs</w:t>
            </w:r>
          </w:p>
        </w:tc>
        <w:tc>
          <w:tcPr>
            <w:tcW w:w="26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10,635</w:t>
            </w:r>
          </w:p>
        </w:tc>
        <w:tc>
          <w:tcPr>
            <w:tcW w:w="1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9,886</w:t>
            </w:r>
          </w:p>
        </w:tc>
        <w:tc>
          <w:tcPr>
            <w:tcW w:w="1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8 %</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10,570</w:t>
            </w:r>
          </w:p>
        </w:tc>
      </w:tr>
      <w:tr>
        <w:trPr>
          <w:trHeight w:val="199"/>
        </w:trPr>
        <w:tc>
          <w:tcPr>
            <w:tcW w:w="4120" w:type="dxa"/>
            <w:vAlign w:val="bottom"/>
          </w:tcPr>
          <w:p>
            <w:pPr>
              <w:ind w:left="20"/>
              <w:spacing w:after="0"/>
              <w:rPr>
                <w:sz w:val="20"/>
                <w:szCs w:val="20"/>
                <w:color w:val="auto"/>
              </w:rPr>
            </w:pPr>
            <w:r>
              <w:rPr>
                <w:rFonts w:ascii="Arial" w:cs="Arial" w:eastAsia="Arial" w:hAnsi="Arial"/>
                <w:sz w:val="14"/>
                <w:szCs w:val="14"/>
                <w:color w:val="auto"/>
              </w:rPr>
              <w:t>New HSAs from sales - Quarter-to-date</w:t>
            </w:r>
          </w:p>
        </w:tc>
        <w:tc>
          <w:tcPr>
            <w:tcW w:w="2620" w:type="dxa"/>
            <w:vAlign w:val="bottom"/>
          </w:tcPr>
          <w:p>
            <w:pPr>
              <w:jc w:val="right"/>
              <w:ind w:right="288"/>
              <w:spacing w:after="0"/>
              <w:rPr>
                <w:sz w:val="20"/>
                <w:szCs w:val="20"/>
                <w:color w:val="auto"/>
              </w:rPr>
            </w:pPr>
            <w:r>
              <w:rPr>
                <w:rFonts w:ascii="Arial" w:cs="Arial" w:eastAsia="Arial" w:hAnsi="Arial"/>
                <w:sz w:val="14"/>
                <w:szCs w:val="14"/>
                <w:color w:val="auto"/>
              </w:rPr>
              <w:t>172</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150</w:t>
            </w: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15 %</w:t>
            </w:r>
          </w:p>
        </w:tc>
        <w:tc>
          <w:tcPr>
            <w:tcW w:w="1380" w:type="dxa"/>
            <w:vAlign w:val="bottom"/>
          </w:tcPr>
          <w:p>
            <w:pPr>
              <w:jc w:val="right"/>
              <w:spacing w:after="0"/>
              <w:rPr>
                <w:sz w:val="20"/>
                <w:szCs w:val="20"/>
                <w:color w:val="auto"/>
              </w:rPr>
            </w:pPr>
            <w:r>
              <w:rPr>
                <w:rFonts w:ascii="Arial" w:cs="Arial" w:eastAsia="Arial" w:hAnsi="Arial"/>
                <w:sz w:val="14"/>
                <w:szCs w:val="14"/>
                <w:color w:val="auto"/>
              </w:rPr>
              <w:t>553</w:t>
            </w:r>
          </w:p>
        </w:tc>
      </w:tr>
      <w:tr>
        <w:trPr>
          <w:trHeight w:val="20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HSAs from sales - Year-to-date</w:t>
            </w:r>
          </w:p>
        </w:tc>
        <w:tc>
          <w:tcPr>
            <w:tcW w:w="26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172</w:t>
            </w:r>
          </w:p>
        </w:tc>
        <w:tc>
          <w:tcPr>
            <w:tcW w:w="1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150</w:t>
            </w:r>
          </w:p>
        </w:tc>
        <w:tc>
          <w:tcPr>
            <w:tcW w:w="1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15 %</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r>
      <w:tr>
        <w:trPr>
          <w:trHeight w:val="199"/>
        </w:trPr>
        <w:tc>
          <w:tcPr>
            <w:tcW w:w="4120" w:type="dxa"/>
            <w:vAlign w:val="bottom"/>
          </w:tcPr>
          <w:p>
            <w:pPr>
              <w:ind w:left="20"/>
              <w:spacing w:after="0"/>
              <w:rPr>
                <w:sz w:val="20"/>
                <w:szCs w:val="20"/>
                <w:color w:val="auto"/>
              </w:rPr>
            </w:pPr>
            <w:r>
              <w:rPr>
                <w:rFonts w:ascii="Arial" w:cs="Arial" w:eastAsia="Arial" w:hAnsi="Arial"/>
                <w:sz w:val="14"/>
                <w:szCs w:val="14"/>
                <w:color w:val="auto"/>
              </w:rPr>
              <w:t>New HSAs from acquisitions - Year-to-date</w:t>
            </w:r>
          </w:p>
        </w:tc>
        <w:tc>
          <w:tcPr>
            <w:tcW w:w="26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HSAs with investments</w:t>
            </w:r>
          </w:p>
        </w:tc>
        <w:tc>
          <w:tcPr>
            <w:tcW w:w="26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909</w:t>
            </w:r>
          </w:p>
        </w:tc>
        <w:tc>
          <w:tcPr>
            <w:tcW w:w="1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770</w:t>
            </w:r>
          </w:p>
        </w:tc>
        <w:tc>
          <w:tcPr>
            <w:tcW w:w="1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18 %</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w:t>
            </w:r>
          </w:p>
        </w:tc>
      </w:tr>
      <w:tr>
        <w:trPr>
          <w:trHeight w:val="199"/>
        </w:trPr>
        <w:tc>
          <w:tcPr>
            <w:tcW w:w="4120" w:type="dxa"/>
            <w:vAlign w:val="bottom"/>
          </w:tcPr>
          <w:p>
            <w:pPr>
              <w:ind w:left="20"/>
              <w:spacing w:after="0"/>
              <w:rPr>
                <w:sz w:val="20"/>
                <w:szCs w:val="20"/>
                <w:color w:val="auto"/>
              </w:rPr>
            </w:pPr>
            <w:r>
              <w:rPr>
                <w:rFonts w:ascii="Arial" w:cs="Arial" w:eastAsia="Arial" w:hAnsi="Arial"/>
                <w:sz w:val="14"/>
                <w:szCs w:val="14"/>
                <w:color w:val="auto"/>
              </w:rPr>
              <w:t>CDBs</w:t>
            </w:r>
          </w:p>
        </w:tc>
        <w:tc>
          <w:tcPr>
            <w:tcW w:w="2620" w:type="dxa"/>
            <w:vAlign w:val="bottom"/>
          </w:tcPr>
          <w:p>
            <w:pPr>
              <w:jc w:val="right"/>
              <w:ind w:right="288"/>
              <w:spacing w:after="0"/>
              <w:rPr>
                <w:sz w:val="20"/>
                <w:szCs w:val="20"/>
                <w:color w:val="auto"/>
              </w:rPr>
            </w:pPr>
            <w:r>
              <w:rPr>
                <w:rFonts w:ascii="Arial" w:cs="Arial" w:eastAsia="Arial" w:hAnsi="Arial"/>
                <w:sz w:val="14"/>
                <w:szCs w:val="14"/>
                <w:color w:val="auto"/>
              </w:rPr>
              <w:t>7,150</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7,174</w:t>
            </w: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0 %</w:t>
            </w:r>
          </w:p>
        </w:tc>
        <w:tc>
          <w:tcPr>
            <w:tcW w:w="1380" w:type="dxa"/>
            <w:vAlign w:val="bottom"/>
          </w:tcPr>
          <w:p>
            <w:pPr>
              <w:jc w:val="right"/>
              <w:spacing w:after="0"/>
              <w:rPr>
                <w:sz w:val="20"/>
                <w:szCs w:val="20"/>
                <w:color w:val="auto"/>
              </w:rPr>
            </w:pPr>
            <w:r>
              <w:rPr>
                <w:rFonts w:ascii="Arial" w:cs="Arial" w:eastAsia="Arial" w:hAnsi="Arial"/>
                <w:sz w:val="14"/>
                <w:szCs w:val="14"/>
                <w:color w:val="auto"/>
              </w:rPr>
              <w:t>7,221</w:t>
            </w:r>
          </w:p>
        </w:tc>
      </w:tr>
      <w:tr>
        <w:trPr>
          <w:trHeight w:val="20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Accounts</w:t>
            </w:r>
          </w:p>
        </w:tc>
        <w:tc>
          <w:tcPr>
            <w:tcW w:w="26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17,785</w:t>
            </w:r>
          </w:p>
        </w:tc>
        <w:tc>
          <w:tcPr>
            <w:tcW w:w="1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17,060</w:t>
            </w:r>
          </w:p>
        </w:tc>
        <w:tc>
          <w:tcPr>
            <w:tcW w:w="1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4 %</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17,791</w:t>
            </w:r>
          </w:p>
        </w:tc>
      </w:tr>
      <w:tr>
        <w:trPr>
          <w:trHeight w:val="199"/>
        </w:trPr>
        <w:tc>
          <w:tcPr>
            <w:tcW w:w="4120" w:type="dxa"/>
            <w:vAlign w:val="bottom"/>
          </w:tcPr>
          <w:p>
            <w:pPr>
              <w:ind w:left="20"/>
              <w:spacing w:after="0"/>
              <w:rPr>
                <w:sz w:val="20"/>
                <w:szCs w:val="20"/>
                <w:color w:val="auto"/>
              </w:rPr>
            </w:pPr>
            <w:r>
              <w:rPr>
                <w:rFonts w:ascii="Arial" w:cs="Arial" w:eastAsia="Arial" w:hAnsi="Arial"/>
                <w:sz w:val="14"/>
                <w:szCs w:val="14"/>
                <w:color w:val="auto"/>
              </w:rPr>
              <w:t>Average Total Accounts - Quarter-to-date</w:t>
            </w:r>
          </w:p>
        </w:tc>
        <w:tc>
          <w:tcPr>
            <w:tcW w:w="2620" w:type="dxa"/>
            <w:vAlign w:val="bottom"/>
          </w:tcPr>
          <w:p>
            <w:pPr>
              <w:jc w:val="right"/>
              <w:ind w:right="288"/>
              <w:spacing w:after="0"/>
              <w:rPr>
                <w:sz w:val="20"/>
                <w:szCs w:val="20"/>
                <w:color w:val="auto"/>
              </w:rPr>
            </w:pPr>
            <w:r>
              <w:rPr>
                <w:rFonts w:ascii="Arial" w:cs="Arial" w:eastAsia="Arial" w:hAnsi="Arial"/>
                <w:sz w:val="14"/>
                <w:szCs w:val="14"/>
                <w:color w:val="auto"/>
              </w:rPr>
              <w:t>17,834</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17,122</w:t>
            </w: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4 %</w:t>
            </w:r>
          </w:p>
        </w:tc>
        <w:tc>
          <w:tcPr>
            <w:tcW w:w="1380" w:type="dxa"/>
            <w:vAlign w:val="bottom"/>
          </w:tcPr>
          <w:p>
            <w:pPr>
              <w:jc w:val="right"/>
              <w:spacing w:after="0"/>
              <w:rPr>
                <w:sz w:val="20"/>
                <w:szCs w:val="20"/>
                <w:color w:val="auto"/>
              </w:rPr>
            </w:pPr>
            <w:r>
              <w:rPr>
                <w:rFonts w:ascii="Arial" w:cs="Arial" w:eastAsia="Arial" w:hAnsi="Arial"/>
                <w:sz w:val="14"/>
                <w:szCs w:val="14"/>
                <w:color w:val="auto"/>
              </w:rPr>
              <w:t>17,462</w:t>
            </w:r>
          </w:p>
        </w:tc>
      </w:tr>
      <w:tr>
        <w:trPr>
          <w:trHeight w:val="203"/>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Total Accounts - Year-to-date</w:t>
            </w:r>
          </w:p>
        </w:tc>
        <w:tc>
          <w:tcPr>
            <w:tcW w:w="26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17,834</w:t>
            </w:r>
          </w:p>
        </w:tc>
        <w:tc>
          <w:tcPr>
            <w:tcW w:w="17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17,122</w:t>
            </w:r>
          </w:p>
        </w:tc>
        <w:tc>
          <w:tcPr>
            <w:tcW w:w="13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17,220</w:t>
            </w:r>
          </w:p>
        </w:tc>
      </w:tr>
      <w:tr>
        <w:trPr>
          <w:trHeight w:val="333"/>
        </w:trPr>
        <w:tc>
          <w:tcPr>
            <w:tcW w:w="4120" w:type="dxa"/>
            <w:vAlign w:val="bottom"/>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Not meaningful</w:t>
            </w:r>
          </w:p>
        </w:tc>
        <w:tc>
          <w:tcPr>
            <w:tcW w:w="2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HSA Assets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April 30, 2026</w:t>
            </w: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2025</w:t>
            </w:r>
          </w:p>
        </w:tc>
        <w:tc>
          <w:tcPr>
            <w:tcW w:w="196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2026</w:t>
            </w:r>
          </w:p>
        </w:tc>
      </w:tr>
      <w:tr>
        <w:trPr>
          <w:trHeight w:val="19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 cash</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17,066</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3 %  $</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17,982</w:t>
            </w:r>
          </w:p>
        </w:tc>
      </w:tr>
      <w:tr>
        <w:trPr>
          <w:trHeight w:val="19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HSA investments</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19,613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14,205</w:t>
            </w:r>
          </w:p>
        </w:tc>
        <w:tc>
          <w:tcPr>
            <w:tcW w:w="17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38 %</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18,482</w:t>
            </w:r>
          </w:p>
        </w:tc>
      </w:tr>
      <w:tr>
        <w:trPr>
          <w:trHeight w:val="200"/>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HSA Assets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31,271</w:t>
            </w: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19 %</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36,464</w:t>
            </w:r>
          </w:p>
        </w:tc>
      </w:tr>
      <w:tr>
        <w:trPr>
          <w:trHeight w:val="199"/>
        </w:trPr>
        <w:tc>
          <w:tcPr>
            <w:tcW w:w="5000" w:type="dxa"/>
            <w:vAlign w:val="bottom"/>
          </w:tcPr>
          <w:p>
            <w:pPr>
              <w:ind w:left="20"/>
              <w:spacing w:after="0"/>
              <w:rPr>
                <w:sz w:val="20"/>
                <w:szCs w:val="20"/>
                <w:color w:val="auto"/>
              </w:rPr>
            </w:pPr>
            <w:r>
              <w:rPr>
                <w:rFonts w:ascii="Arial" w:cs="Arial" w:eastAsia="Arial" w:hAnsi="Arial"/>
                <w:sz w:val="14"/>
                <w:szCs w:val="14"/>
                <w:color w:val="auto"/>
              </w:rPr>
              <w:t>Average daily HSA cash - Quarter-to-date</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17,706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17,281</w:t>
            </w: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2 %</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17,090</w:t>
            </w:r>
          </w:p>
        </w:tc>
      </w:tr>
      <w:tr>
        <w:trPr>
          <w:trHeight w:val="203"/>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daily HSA cash - Year-to-date</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17,706</w:t>
            </w: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17,281</w:t>
            </w:r>
          </w:p>
        </w:tc>
        <w:tc>
          <w:tcPr>
            <w:tcW w:w="1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2 %</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HSA cash maturity schedule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the amount of HSA cash held by our depository partners and insurance company partners that is expected to reprice by fiscal year and the respective average annualized yield currently earned on that HSA cash as of April 30, 2026:</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Year ending January 31, (in billions, except percentages)</w:t>
            </w:r>
          </w:p>
        </w:tc>
        <w:tc>
          <w:tcPr>
            <w:tcW w:w="2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HSA cash expected to</w:t>
            </w:r>
          </w:p>
        </w:tc>
        <w:tc>
          <w:tcPr>
            <w:tcW w:w="2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Average annualized yield</w:t>
            </w:r>
          </w:p>
        </w:tc>
        <w:tc>
          <w:tcPr>
            <w:tcW w:w="0" w:type="dxa"/>
            <w:vAlign w:val="bottom"/>
          </w:tcPr>
          <w:p>
            <w:pPr>
              <w:spacing w:after="0"/>
              <w:rPr>
                <w:sz w:val="1"/>
                <w:szCs w:val="1"/>
                <w:color w:val="auto"/>
              </w:rPr>
            </w:pPr>
          </w:p>
        </w:tc>
      </w:tr>
      <w:tr>
        <w:trPr>
          <w:trHeight w:val="185"/>
        </w:trPr>
        <w:tc>
          <w:tcPr>
            <w:tcW w:w="72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reprice</w:t>
            </w:r>
          </w:p>
        </w:tc>
        <w:tc>
          <w:tcPr>
            <w:tcW w:w="2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2027</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98"/>
        </w:trPr>
        <w:tc>
          <w:tcPr>
            <w:tcW w:w="7240" w:type="dxa"/>
            <w:vAlign w:val="bottom"/>
          </w:tcPr>
          <w:p>
            <w:pPr>
              <w:ind w:left="20"/>
              <w:spacing w:after="0"/>
              <w:rPr>
                <w:sz w:val="20"/>
                <w:szCs w:val="20"/>
                <w:color w:val="auto"/>
              </w:rPr>
            </w:pPr>
            <w:r>
              <w:rPr>
                <w:rFonts w:ascii="Arial" w:cs="Arial" w:eastAsia="Arial" w:hAnsi="Arial"/>
                <w:sz w:val="14"/>
                <w:szCs w:val="14"/>
                <w:color w:val="auto"/>
              </w:rPr>
              <w:t>2028</w:t>
            </w:r>
          </w:p>
        </w:tc>
        <w:tc>
          <w:tcPr>
            <w:tcW w:w="24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2100" w:type="dxa"/>
            <w:vAlign w:val="bottom"/>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207"/>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98"/>
        </w:trPr>
        <w:tc>
          <w:tcPr>
            <w:tcW w:w="7240" w:type="dxa"/>
            <w:vAlign w:val="bottom"/>
          </w:tcPr>
          <w:p>
            <w:pPr>
              <w:ind w:left="20"/>
              <w:spacing w:after="0"/>
              <w:rPr>
                <w:sz w:val="20"/>
                <w:szCs w:val="20"/>
                <w:color w:val="auto"/>
              </w:rPr>
            </w:pPr>
            <w:r>
              <w:rPr>
                <w:rFonts w:ascii="Arial" w:cs="Arial" w:eastAsia="Arial" w:hAnsi="Arial"/>
                <w:sz w:val="14"/>
                <w:szCs w:val="14"/>
                <w:color w:val="auto"/>
              </w:rPr>
              <w:t>2030</w:t>
            </w:r>
          </w:p>
        </w:tc>
        <w:tc>
          <w:tcPr>
            <w:tcW w:w="24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2100" w:type="dxa"/>
            <w:vAlign w:val="bottom"/>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207"/>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92"/>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273"/>
        </w:trPr>
        <w:tc>
          <w:tcPr>
            <w:tcW w:w="7240" w:type="dxa"/>
            <w:vAlign w:val="bottom"/>
          </w:tcPr>
          <w:p>
            <w:pPr>
              <w:spacing w:after="0"/>
              <w:rPr>
                <w:sz w:val="20"/>
                <w:szCs w:val="20"/>
                <w:color w:val="auto"/>
              </w:rPr>
            </w:pPr>
            <w:r>
              <w:rPr>
                <w:rFonts w:ascii="Arial" w:cs="Arial" w:eastAsia="Arial" w:hAnsi="Arial"/>
                <w:sz w:val="14"/>
                <w:szCs w:val="14"/>
                <w:color w:val="auto"/>
              </w:rPr>
              <w:t>(1) Excludes $1.0 billion of HSA cash held in floating-rate contracts as of April 30, 2026.</w:t>
            </w: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Client-held funds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April 30, 2026</w:t>
            </w:r>
          </w:p>
        </w:tc>
        <w:tc>
          <w:tcPr>
            <w:tcW w:w="3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April 30, 2025</w:t>
            </w:r>
          </w:p>
        </w:tc>
        <w:tc>
          <w:tcPr>
            <w:tcW w:w="14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2026</w:t>
            </w:r>
          </w:p>
        </w:tc>
      </w:tr>
      <w:tr>
        <w:trPr>
          <w:trHeight w:val="19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Client-held funds</w:t>
            </w: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1,013</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925</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10 %  $</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Average daily Client-held funds - Quarter-to-date</w:t>
            </w:r>
          </w:p>
        </w:tc>
        <w:tc>
          <w:tcPr>
            <w:tcW w:w="124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1,036</w:t>
            </w:r>
          </w:p>
        </w:tc>
        <w:tc>
          <w:tcPr>
            <w:tcW w:w="340" w:type="dxa"/>
            <w:vAlign w:val="bottom"/>
          </w:tcPr>
          <w:p>
            <w:pPr>
              <w:spacing w:after="0"/>
              <w:rPr>
                <w:sz w:val="17"/>
                <w:szCs w:val="17"/>
                <w:color w:val="auto"/>
              </w:rPr>
            </w:pPr>
          </w:p>
        </w:tc>
        <w:tc>
          <w:tcPr>
            <w:tcW w:w="1640" w:type="dxa"/>
            <w:vAlign w:val="bottom"/>
          </w:tcPr>
          <w:p>
            <w:pPr>
              <w:jc w:val="right"/>
              <w:ind w:right="468"/>
              <w:spacing w:after="0"/>
              <w:rPr>
                <w:sz w:val="20"/>
                <w:szCs w:val="20"/>
                <w:color w:val="auto"/>
              </w:rPr>
            </w:pPr>
            <w:r>
              <w:rPr>
                <w:rFonts w:ascii="Arial" w:cs="Arial" w:eastAsia="Arial" w:hAnsi="Arial"/>
                <w:sz w:val="14"/>
                <w:szCs w:val="14"/>
                <w:color w:val="auto"/>
              </w:rPr>
              <w:t>902</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15 %</w:t>
            </w:r>
          </w:p>
        </w:tc>
        <w:tc>
          <w:tcPr>
            <w:tcW w:w="1280" w:type="dxa"/>
            <w:vAlign w:val="bottom"/>
          </w:tcPr>
          <w:p>
            <w:pPr>
              <w:jc w:val="right"/>
              <w:spacing w:after="0"/>
              <w:rPr>
                <w:sz w:val="20"/>
                <w:szCs w:val="20"/>
                <w:color w:val="auto"/>
              </w:rPr>
            </w:pPr>
            <w:r>
              <w:rPr>
                <w:rFonts w:ascii="Arial" w:cs="Arial" w:eastAsia="Arial" w:hAnsi="Arial"/>
                <w:sz w:val="14"/>
                <w:szCs w:val="14"/>
                <w:color w:val="auto"/>
              </w:rPr>
              <w:t>879</w:t>
            </w:r>
          </w:p>
        </w:tc>
      </w:tr>
      <w:tr>
        <w:trPr>
          <w:trHeight w:val="203"/>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daily Client-held funds - Year-to-date</w:t>
            </w:r>
          </w:p>
        </w:tc>
        <w:tc>
          <w:tcPr>
            <w:tcW w:w="1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1,036</w:t>
            </w:r>
          </w:p>
        </w:tc>
        <w:tc>
          <w:tcPr>
            <w:tcW w:w="34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902</w:t>
            </w:r>
          </w:p>
        </w:tc>
        <w:tc>
          <w:tcPr>
            <w:tcW w:w="14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15 %</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Adjusted EBITDA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69,418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53,915</w:t>
            </w:r>
          </w:p>
        </w:tc>
      </w:tr>
      <w:tr>
        <w:trPr>
          <w:trHeight w:val="199"/>
        </w:trPr>
        <w:tc>
          <w:tcPr>
            <w:tcW w:w="734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(1,887)</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(2,733)</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14,858</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Income tax provision</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22,995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17,038</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11,739</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26,515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27,002</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14,336</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Merger integration expenses</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1,275</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incremental costs to obtain a contract</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Costs associated with unused office space</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852</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Adjusted EBITDA</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164,488</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140,208</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Adjusted EBITDA as a percentage of revenue (unaudited)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0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6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69,418</w:t>
            </w:r>
          </w:p>
        </w:tc>
        <w:tc>
          <w:tcPr>
            <w:tcW w:w="5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53,915</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15,503</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r>
      <w:tr>
        <w:trPr>
          <w:trHeight w:val="198"/>
        </w:trPr>
        <w:tc>
          <w:tcPr>
            <w:tcW w:w="3640" w:type="dxa"/>
            <w:vAlign w:val="bottom"/>
          </w:tcPr>
          <w:p>
            <w:pPr>
              <w:ind w:left="140"/>
              <w:spacing w:after="0"/>
              <w:rPr>
                <w:sz w:val="20"/>
                <w:szCs w:val="20"/>
                <w:color w:val="auto"/>
              </w:rPr>
            </w:pPr>
            <w:r>
              <w:rPr>
                <w:rFonts w:ascii="Arial" w:cs="Arial" w:eastAsia="Arial" w:hAnsi="Arial"/>
                <w:sz w:val="14"/>
                <w:szCs w:val="14"/>
                <w:color w:val="auto"/>
              </w:rPr>
              <w:t>As a percentage of revenue</w:t>
            </w:r>
          </w:p>
        </w:tc>
        <w:tc>
          <w:tcPr>
            <w:tcW w:w="1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20 %</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16 %</w:t>
            </w: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164,488</w:t>
            </w:r>
          </w:p>
        </w:tc>
        <w:tc>
          <w:tcPr>
            <w:tcW w:w="5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140,208</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24,280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198"/>
        </w:trPr>
        <w:tc>
          <w:tcPr>
            <w:tcW w:w="3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As a percentage of revenue</w:t>
            </w:r>
          </w:p>
        </w:tc>
        <w:tc>
          <w:tcPr>
            <w:tcW w:w="1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42 %</w:t>
            </w: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Reconciliation of net income outlook to Adjusted EBITDA outlook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Outlook for the year ending</w:t>
            </w:r>
          </w:p>
        </w:tc>
      </w:tr>
      <w:tr>
        <w:trPr>
          <w:trHeight w:val="20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2027</w:t>
            </w:r>
          </w:p>
        </w:tc>
      </w:tr>
      <w:tr>
        <w:trPr>
          <w:trHeight w:val="197"/>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$242 - 248</w:t>
            </w:r>
          </w:p>
        </w:tc>
      </w:tr>
      <w:tr>
        <w:trPr>
          <w:trHeight w:val="198"/>
        </w:trPr>
        <w:tc>
          <w:tcPr>
            <w:tcW w:w="880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24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8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98"/>
        </w:trPr>
        <w:tc>
          <w:tcPr>
            <w:tcW w:w="8800" w:type="dxa"/>
            <w:vAlign w:val="bottom"/>
          </w:tcPr>
          <w:p>
            <w:pPr>
              <w:ind w:left="140"/>
              <w:spacing w:after="0"/>
              <w:rPr>
                <w:sz w:val="20"/>
                <w:szCs w:val="20"/>
                <w:color w:val="auto"/>
              </w:rPr>
            </w:pPr>
            <w:r>
              <w:rPr>
                <w:rFonts w:ascii="Arial" w:cs="Arial" w:eastAsia="Arial" w:hAnsi="Arial"/>
                <w:sz w:val="14"/>
                <w:szCs w:val="14"/>
                <w:color w:val="auto"/>
              </w:rPr>
              <w:t>Income tax provision</w:t>
            </w:r>
          </w:p>
        </w:tc>
        <w:tc>
          <w:tcPr>
            <w:tcW w:w="2440" w:type="dxa"/>
            <w:vAlign w:val="bottom"/>
          </w:tcPr>
          <w:p>
            <w:pPr>
              <w:jc w:val="right"/>
              <w:spacing w:after="0"/>
              <w:rPr>
                <w:sz w:val="20"/>
                <w:szCs w:val="20"/>
                <w:color w:val="auto"/>
              </w:rPr>
            </w:pPr>
            <w:r>
              <w:rPr>
                <w:rFonts w:ascii="Arial" w:cs="Arial" w:eastAsia="Arial" w:hAnsi="Arial"/>
                <w:sz w:val="14"/>
                <w:szCs w:val="14"/>
                <w:color w:val="auto"/>
              </w:rPr>
              <w:t>81 - 83</w:t>
            </w:r>
          </w:p>
        </w:tc>
      </w:tr>
      <w:tr>
        <w:trPr>
          <w:trHeight w:val="207"/>
        </w:trPr>
        <w:tc>
          <w:tcPr>
            <w:tcW w:w="8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98"/>
        </w:trPr>
        <w:tc>
          <w:tcPr>
            <w:tcW w:w="880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244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07"/>
        </w:trPr>
        <w:tc>
          <w:tcPr>
            <w:tcW w:w="8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98"/>
        </w:trPr>
        <w:tc>
          <w:tcPr>
            <w:tcW w:w="8800" w:type="dxa"/>
            <w:vAlign w:val="bottom"/>
          </w:tcPr>
          <w:p>
            <w:pPr>
              <w:ind w:left="140"/>
              <w:spacing w:after="0"/>
              <w:rPr>
                <w:sz w:val="20"/>
                <w:szCs w:val="20"/>
                <w:color w:val="auto"/>
              </w:rPr>
            </w:pPr>
            <w:r>
              <w:rPr>
                <w:rFonts w:ascii="Arial" w:cs="Arial" w:eastAsia="Arial" w:hAnsi="Arial"/>
                <w:sz w:val="14"/>
                <w:szCs w:val="14"/>
                <w:color w:val="auto"/>
              </w:rPr>
              <w:t>Merger integration expenses</w:t>
            </w:r>
          </w:p>
        </w:tc>
        <w:tc>
          <w:tcPr>
            <w:tcW w:w="24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6"/>
        </w:trPr>
        <w:tc>
          <w:tcPr>
            <w:tcW w:w="8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incremental costs to obtain a contract</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8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Costs associated with unused office space</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$625 - 633</w:t>
            </w:r>
          </w:p>
        </w:tc>
      </w:tr>
      <w:tr>
        <w:trPr>
          <w:trHeight w:val="327"/>
        </w:trPr>
        <w:tc>
          <w:tcPr>
            <w:tcW w:w="8800" w:type="dxa"/>
            <w:vAlign w:val="bottom"/>
          </w:tcPr>
          <w:p>
            <w:pPr>
              <w:spacing w:after="0"/>
              <w:rPr>
                <w:sz w:val="20"/>
                <w:szCs w:val="20"/>
                <w:color w:val="auto"/>
              </w:rPr>
            </w:pPr>
            <w:r>
              <w:rPr>
                <w:rFonts w:ascii="Arial" w:cs="Arial" w:eastAsia="Arial" w:hAnsi="Arial"/>
                <w:sz w:val="14"/>
                <w:szCs w:val="14"/>
                <w:color w:val="auto"/>
              </w:rPr>
              <w:t>Note: Values presented may not calculate due to rounding.</w:t>
            </w:r>
          </w:p>
        </w:tc>
        <w:tc>
          <w:tcPr>
            <w:tcW w:w="2440" w:type="dxa"/>
            <w:vAlign w:val="bottom"/>
          </w:tcPr>
          <w:p>
            <w:pPr>
              <w:spacing w:after="0"/>
              <w:rPr>
                <w:sz w:val="24"/>
                <w:szCs w:val="24"/>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non-GAAP net income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69,418</w:t>
            </w:r>
          </w:p>
        </w:tc>
        <w:tc>
          <w:tcPr>
            <w:tcW w:w="86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53,915</w:t>
            </w:r>
          </w:p>
        </w:tc>
      </w:tr>
      <w:tr>
        <w:trPr>
          <w:trHeight w:val="19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w:t>
            </w: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22,995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17,038</w:t>
            </w: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 - GAAP</w:t>
            </w:r>
          </w:p>
        </w:tc>
        <w:tc>
          <w:tcPr>
            <w:tcW w:w="7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92,413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70,953</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Non-GAAP adjustments:</w:t>
            </w: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7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26,515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27,002</w:t>
            </w:r>
          </w:p>
        </w:tc>
      </w:tr>
      <w:tr>
        <w:trPr>
          <w:trHeight w:val="199"/>
        </w:trPr>
        <w:tc>
          <w:tcPr>
            <w:tcW w:w="734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7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19,406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14,336</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Merger integration expenses</w:t>
            </w:r>
          </w:p>
        </w:tc>
        <w:tc>
          <w:tcPr>
            <w:tcW w:w="7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r>
      <w:tr>
        <w:trPr>
          <w:trHeight w:val="198"/>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Costs associated with unused office space</w:t>
            </w: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w:t>
            </w: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adjustments to income before income taxes - GAAP</w:t>
            </w:r>
          </w:p>
        </w:tc>
        <w:tc>
          <w:tcPr>
            <w:tcW w:w="7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47,720</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43,465</w:t>
            </w:r>
          </w:p>
        </w:tc>
      </w:tr>
      <w:tr>
        <w:trPr>
          <w:trHeight w:val="192"/>
        </w:trPr>
        <w:tc>
          <w:tcPr>
            <w:tcW w:w="7340" w:type="dxa"/>
            <w:vAlign w:val="bottom"/>
          </w:tcPr>
          <w:p>
            <w:pPr>
              <w:ind w:left="20"/>
              <w:spacing w:after="0"/>
              <w:rPr>
                <w:sz w:val="20"/>
                <w:szCs w:val="20"/>
                <w:color w:val="auto"/>
              </w:rPr>
            </w:pPr>
            <w:r>
              <w:rPr>
                <w:rFonts w:ascii="Arial" w:cs="Arial" w:eastAsia="Arial" w:hAnsi="Arial"/>
                <w:sz w:val="14"/>
                <w:szCs w:val="14"/>
                <w:color w:val="auto"/>
              </w:rPr>
              <w:t>Income before income taxes - Non-GAAP</w:t>
            </w:r>
          </w:p>
        </w:tc>
        <w:tc>
          <w:tcPr>
            <w:tcW w:w="7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140,133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114,418</w:t>
            </w: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 - Non-GAAP (1)</w:t>
            </w:r>
          </w:p>
        </w:tc>
        <w:tc>
          <w:tcPr>
            <w:tcW w:w="7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35,034</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28,604</w:t>
            </w:r>
          </w:p>
        </w:tc>
      </w:tr>
      <w:tr>
        <w:trPr>
          <w:trHeight w:val="192"/>
        </w:trPr>
        <w:tc>
          <w:tcPr>
            <w:tcW w:w="7340" w:type="dxa"/>
            <w:vAlign w:val="bottom"/>
          </w:tcPr>
          <w:p>
            <w:pPr>
              <w:ind w:left="20"/>
              <w:spacing w:after="0"/>
              <w:rPr>
                <w:sz w:val="20"/>
                <w:szCs w:val="20"/>
                <w:color w:val="auto"/>
              </w:rPr>
            </w:pPr>
            <w:r>
              <w:rPr>
                <w:rFonts w:ascii="Arial" w:cs="Arial" w:eastAsia="Arial" w:hAnsi="Arial"/>
                <w:sz w:val="14"/>
                <w:szCs w:val="14"/>
                <w:color w:val="auto"/>
              </w:rPr>
              <w:t>Non-GAAP net income</w:t>
            </w:r>
          </w:p>
        </w:tc>
        <w:tc>
          <w:tcPr>
            <w:tcW w:w="7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105,099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85,814</w:t>
            </w:r>
          </w:p>
        </w:tc>
      </w:tr>
      <w:tr>
        <w:trPr>
          <w:trHeight w:val="274"/>
        </w:trPr>
        <w:tc>
          <w:tcPr>
            <w:tcW w:w="7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Diluted weighted-average shares</w:t>
            </w:r>
          </w:p>
        </w:tc>
        <w:tc>
          <w:tcPr>
            <w:tcW w:w="7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85,006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88,415</w:t>
            </w: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net income per diluted share</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86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r>
      <w:tr>
        <w:trPr>
          <w:trHeight w:val="198"/>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Non-GAAP net income per diluted share</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8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r>
    </w:tbl>
    <w:p>
      <w:pPr>
        <w:spacing w:after="0" w:line="139" w:lineRule="exact"/>
        <w:rPr>
          <w:sz w:val="20"/>
          <w:szCs w:val="20"/>
          <w:color w:val="auto"/>
        </w:rPr>
      </w:pPr>
    </w:p>
    <w:p>
      <w:pPr>
        <w:ind w:left="340" w:right="40" w:hanging="332"/>
        <w:spacing w:after="0" w:line="267"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utilizes a normalized non-GAAP tax rate to provide better consistency across the interim reporting periods within a given fiscal year by eliminating the effects of non-recurring and period-specific items, which can vary in size and frequency, and which are not necessarily reflective of the Company’s longer-term operations. The normalized non-GAAP tax rate applied to each period presented was 25%. The Company may adjust its non-GAAP tax rate as additional information becomes available and in conjunction with any other significant events occurring that may materially affect this rate, such as merger and acquisition activity, changes in business outlook, or other changes in expectations regarding tax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6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Reconciliation of net income outlook to non-GAAP net income outlook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Outlook for the year ending</w:t>
            </w:r>
          </w:p>
        </w:tc>
      </w:tr>
      <w:tr>
        <w:trPr>
          <w:trHeight w:val="20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2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31, 2027</w:t>
            </w:r>
          </w:p>
        </w:tc>
      </w:tr>
      <w:tr>
        <w:trPr>
          <w:trHeight w:val="197"/>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$242 - 248</w:t>
            </w:r>
          </w:p>
        </w:tc>
      </w:tr>
      <w:tr>
        <w:trPr>
          <w:trHeight w:val="198"/>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w:t>
            </w:r>
          </w:p>
        </w:tc>
        <w:tc>
          <w:tcPr>
            <w:tcW w:w="2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81 - 83</w:t>
            </w:r>
          </w:p>
        </w:tc>
      </w:tr>
      <w:tr>
        <w:trPr>
          <w:trHeight w:val="200"/>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 - GAAP</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- 330</w:t>
            </w:r>
          </w:p>
        </w:tc>
      </w:tr>
      <w:tr>
        <w:trPr>
          <w:trHeight w:val="198"/>
        </w:trPr>
        <w:tc>
          <w:tcPr>
            <w:tcW w:w="8800" w:type="dxa"/>
            <w:vAlign w:val="bottom"/>
          </w:tcPr>
          <w:p>
            <w:pPr>
              <w:ind w:left="140"/>
              <w:spacing w:after="0"/>
              <w:rPr>
                <w:sz w:val="20"/>
                <w:szCs w:val="20"/>
                <w:color w:val="auto"/>
              </w:rPr>
            </w:pPr>
            <w:r>
              <w:rPr>
                <w:rFonts w:ascii="Arial" w:cs="Arial" w:eastAsia="Arial" w:hAnsi="Arial"/>
                <w:sz w:val="14"/>
                <w:szCs w:val="14"/>
                <w:color w:val="auto"/>
              </w:rPr>
              <w:t>Non-GAAP adjustments:</w:t>
            </w: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7"/>
        </w:trPr>
        <w:tc>
          <w:tcPr>
            <w:tcW w:w="8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20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98"/>
        </w:trPr>
        <w:tc>
          <w:tcPr>
            <w:tcW w:w="880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20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07"/>
        </w:trPr>
        <w:tc>
          <w:tcPr>
            <w:tcW w:w="8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Merger integration expenses</w:t>
            </w:r>
          </w:p>
        </w:tc>
        <w:tc>
          <w:tcPr>
            <w:tcW w:w="20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8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Costs associated with unused office space</w:t>
            </w:r>
          </w:p>
        </w:tc>
        <w:tc>
          <w:tcPr>
            <w:tcW w:w="20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00"/>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adjustments to income before income taxes - GAAP</w:t>
            </w:r>
          </w:p>
        </w:tc>
        <w:tc>
          <w:tcPr>
            <w:tcW w:w="20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92"/>
        </w:trPr>
        <w:tc>
          <w:tcPr>
            <w:tcW w:w="8800" w:type="dxa"/>
            <w:vAlign w:val="bottom"/>
          </w:tcPr>
          <w:p>
            <w:pPr>
              <w:ind w:left="20"/>
              <w:spacing w:after="0"/>
              <w:rPr>
                <w:sz w:val="20"/>
                <w:szCs w:val="20"/>
                <w:color w:val="auto"/>
              </w:rPr>
            </w:pPr>
            <w:r>
              <w:rPr>
                <w:rFonts w:ascii="Arial" w:cs="Arial" w:eastAsia="Arial" w:hAnsi="Arial"/>
                <w:sz w:val="14"/>
                <w:szCs w:val="14"/>
                <w:color w:val="auto"/>
              </w:rPr>
              <w:t>Income before income taxes - Non-GAAP</w:t>
            </w:r>
          </w:p>
        </w:tc>
        <w:tc>
          <w:tcPr>
            <w:tcW w:w="2080" w:type="dxa"/>
            <w:vAlign w:val="bottom"/>
          </w:tcPr>
          <w:p>
            <w:pPr>
              <w:jc w:val="right"/>
              <w:spacing w:after="0"/>
              <w:rPr>
                <w:sz w:val="20"/>
                <w:szCs w:val="20"/>
                <w:color w:val="auto"/>
              </w:rPr>
            </w:pPr>
            <w:r>
              <w:rPr>
                <w:rFonts w:ascii="Arial" w:cs="Arial" w:eastAsia="Arial" w:hAnsi="Arial"/>
                <w:sz w:val="14"/>
                <w:szCs w:val="14"/>
                <w:color w:val="auto"/>
              </w:rPr>
              <w:t>522</w:t>
            </w:r>
          </w:p>
        </w:tc>
        <w:tc>
          <w:tcPr>
            <w:tcW w:w="360" w:type="dxa"/>
            <w:vAlign w:val="bottom"/>
          </w:tcPr>
          <w:p>
            <w:pPr>
              <w:jc w:val="right"/>
              <w:spacing w:after="0"/>
              <w:rPr>
                <w:sz w:val="20"/>
                <w:szCs w:val="20"/>
                <w:color w:val="auto"/>
              </w:rPr>
            </w:pPr>
            <w:r>
              <w:rPr>
                <w:rFonts w:ascii="Arial" w:cs="Arial" w:eastAsia="Arial" w:hAnsi="Arial"/>
                <w:sz w:val="14"/>
                <w:szCs w:val="14"/>
                <w:color w:val="auto"/>
              </w:rPr>
              <w:t>- 530</w:t>
            </w:r>
          </w:p>
        </w:tc>
      </w:tr>
      <w:tr>
        <w:trPr>
          <w:trHeight w:val="207"/>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 - Non-GAAP (1)</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- 133</w:t>
            </w:r>
          </w:p>
        </w:tc>
      </w:tr>
      <w:tr>
        <w:trPr>
          <w:trHeight w:val="192"/>
        </w:trPr>
        <w:tc>
          <w:tcPr>
            <w:tcW w:w="8800" w:type="dxa"/>
            <w:vAlign w:val="bottom"/>
          </w:tcPr>
          <w:p>
            <w:pPr>
              <w:ind w:left="20"/>
              <w:spacing w:after="0"/>
              <w:rPr>
                <w:sz w:val="20"/>
                <w:szCs w:val="20"/>
                <w:color w:val="auto"/>
              </w:rPr>
            </w:pPr>
            <w:r>
              <w:rPr>
                <w:rFonts w:ascii="Arial" w:cs="Arial" w:eastAsia="Arial" w:hAnsi="Arial"/>
                <w:sz w:val="14"/>
                <w:szCs w:val="14"/>
                <w:color w:val="auto"/>
              </w:rPr>
              <w:t>Non-GAAP net income</w:t>
            </w:r>
          </w:p>
        </w:tc>
        <w:tc>
          <w:tcPr>
            <w:tcW w:w="2080" w:type="dxa"/>
            <w:vAlign w:val="bottom"/>
          </w:tcPr>
          <w:p>
            <w:pPr>
              <w:jc w:val="right"/>
              <w:spacing w:after="0"/>
              <w:rPr>
                <w:sz w:val="20"/>
                <w:szCs w:val="20"/>
                <w:color w:val="auto"/>
              </w:rPr>
            </w:pPr>
            <w:r>
              <w:rPr>
                <w:rFonts w:ascii="Arial" w:cs="Arial" w:eastAsia="Arial" w:hAnsi="Arial"/>
                <w:sz w:val="14"/>
                <w:szCs w:val="14"/>
                <w:color w:val="auto"/>
              </w:rPr>
              <w:t>$392</w:t>
            </w:r>
          </w:p>
        </w:tc>
        <w:tc>
          <w:tcPr>
            <w:tcW w:w="360" w:type="dxa"/>
            <w:vAlign w:val="bottom"/>
          </w:tcPr>
          <w:p>
            <w:pPr>
              <w:jc w:val="right"/>
              <w:spacing w:after="0"/>
              <w:rPr>
                <w:sz w:val="20"/>
                <w:szCs w:val="20"/>
                <w:color w:val="auto"/>
              </w:rPr>
            </w:pPr>
            <w:r>
              <w:rPr>
                <w:rFonts w:ascii="Arial" w:cs="Arial" w:eastAsia="Arial" w:hAnsi="Arial"/>
                <w:sz w:val="14"/>
                <w:szCs w:val="14"/>
                <w:color w:val="auto"/>
              </w:rPr>
              <w:t>- 398</w:t>
            </w:r>
          </w:p>
        </w:tc>
      </w:tr>
      <w:tr>
        <w:trPr>
          <w:trHeight w:val="261"/>
        </w:trPr>
        <w:tc>
          <w:tcPr>
            <w:tcW w:w="880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198"/>
        </w:trPr>
        <w:tc>
          <w:tcPr>
            <w:tcW w:w="8800" w:type="dxa"/>
            <w:vAlign w:val="bottom"/>
          </w:tcPr>
          <w:p>
            <w:pPr>
              <w:ind w:left="20"/>
              <w:spacing w:after="0"/>
              <w:rPr>
                <w:sz w:val="20"/>
                <w:szCs w:val="20"/>
                <w:color w:val="auto"/>
              </w:rPr>
            </w:pPr>
            <w:r>
              <w:rPr>
                <w:rFonts w:ascii="Arial" w:cs="Arial" w:eastAsia="Arial" w:hAnsi="Arial"/>
                <w:sz w:val="14"/>
                <w:szCs w:val="14"/>
                <w:color w:val="auto"/>
              </w:rPr>
              <w:t>Diluted weighted-average shares</w:t>
            </w:r>
          </w:p>
        </w:tc>
        <w:tc>
          <w:tcPr>
            <w:tcW w:w="20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07"/>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net income per diluted share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$2.88 - 2.95</w:t>
            </w:r>
          </w:p>
        </w:tc>
      </w:tr>
      <w:tr>
        <w:trPr>
          <w:trHeight w:val="198"/>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Non-GAAP net income per diluted share</w:t>
            </w:r>
          </w:p>
        </w:tc>
        <w:tc>
          <w:tcPr>
            <w:tcW w:w="2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$4.66 - 4.73</w:t>
            </w: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Note: Values presented may not calculate due to rounding.</w:t>
      </w:r>
    </w:p>
    <w:p>
      <w:pPr>
        <w:spacing w:after="0" w:line="55" w:lineRule="exact"/>
        <w:rPr>
          <w:sz w:val="20"/>
          <w:szCs w:val="20"/>
          <w:color w:val="auto"/>
        </w:rPr>
      </w:pPr>
    </w:p>
    <w:p>
      <w:pPr>
        <w:ind w:left="340" w:right="40" w:hanging="332"/>
        <w:spacing w:after="0" w:line="272"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utilizes a normalized non-GAAP tax rate to provide better consistency across the interim reporting periods within a given fiscal year by eliminating the effects of non-recurring and period-specific items, which can vary in size and frequency, and which are not necessarily reflective of the Company’s longer-term operations. The normalized non-GAAP tax rate applied to each period presented was 25%. The Company may adjust its non-GAAP tax rate as additional information becomes available and in conjunction with any other significant events occurring that may materially affect this rate, such as merger and acquisition activity, changes in business outlook, or other changes in expectations regarding tax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6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Certain terms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w:t>
            </w:r>
          </w:p>
        </w:tc>
        <w:tc>
          <w:tcPr>
            <w:tcW w:w="90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b w:val="1"/>
                <w:bCs w:val="1"/>
                <w:color w:val="auto"/>
              </w:rPr>
              <w:t>Definition</w:t>
            </w:r>
          </w:p>
        </w:tc>
      </w:tr>
      <w:tr>
        <w:trPr>
          <w:trHeight w:val="147"/>
        </w:trPr>
        <w:tc>
          <w:tcPr>
            <w:tcW w:w="19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HSA</w:t>
            </w:r>
          </w:p>
        </w:tc>
        <w:tc>
          <w:tcPr>
            <w:tcW w:w="9060" w:type="dxa"/>
            <w:vAlign w:val="bottom"/>
            <w:shd w:val="clear" w:color="auto" w:fill="CCEEFF"/>
          </w:tcPr>
          <w:p>
            <w:pPr>
              <w:ind w:left="800"/>
              <w:spacing w:after="0" w:line="147" w:lineRule="exact"/>
              <w:rPr>
                <w:sz w:val="20"/>
                <w:szCs w:val="20"/>
                <w:color w:val="auto"/>
              </w:rPr>
            </w:pPr>
            <w:r>
              <w:rPr>
                <w:rFonts w:ascii="Arial" w:cs="Arial" w:eastAsia="Arial" w:hAnsi="Arial"/>
                <w:sz w:val="14"/>
                <w:szCs w:val="14"/>
                <w:color w:val="auto"/>
              </w:rPr>
              <w:t>Health Savings Account, which is a financial account through which consumers spend and save long-term for healthcare on a</w:t>
            </w:r>
          </w:p>
        </w:tc>
      </w:tr>
      <w:tr>
        <w:trPr>
          <w:trHeight w:val="185"/>
        </w:trPr>
        <w:tc>
          <w:tcPr>
            <w:tcW w:w="1940" w:type="dxa"/>
            <w:vAlign w:val="bottom"/>
            <w:shd w:val="clear" w:color="auto" w:fill="CCEEFF"/>
          </w:tcPr>
          <w:p>
            <w:pPr>
              <w:spacing w:after="0"/>
              <w:rPr>
                <w:sz w:val="16"/>
                <w:szCs w:val="16"/>
                <w:color w:val="auto"/>
              </w:rPr>
            </w:pPr>
          </w:p>
        </w:tc>
        <w:tc>
          <w:tcPr>
            <w:tcW w:w="9060" w:type="dxa"/>
            <w:vAlign w:val="bottom"/>
            <w:shd w:val="clear" w:color="auto" w:fill="CCEEFF"/>
          </w:tcPr>
          <w:p>
            <w:pPr>
              <w:ind w:left="800"/>
              <w:spacing w:after="0"/>
              <w:rPr>
                <w:sz w:val="20"/>
                <w:szCs w:val="20"/>
                <w:color w:val="auto"/>
              </w:rPr>
            </w:pPr>
            <w:r>
              <w:rPr>
                <w:rFonts w:ascii="Arial" w:cs="Arial" w:eastAsia="Arial" w:hAnsi="Arial"/>
                <w:sz w:val="14"/>
                <w:szCs w:val="14"/>
                <w:color w:val="auto"/>
              </w:rPr>
              <w:t>tax-advantaged basis.</w:t>
            </w:r>
          </w:p>
        </w:tc>
      </w:tr>
      <w:tr>
        <w:trPr>
          <w:trHeight w:val="153"/>
        </w:trPr>
        <w:tc>
          <w:tcPr>
            <w:tcW w:w="1940" w:type="dxa"/>
            <w:vAlign w:val="bottom"/>
          </w:tcPr>
          <w:p>
            <w:pPr>
              <w:ind w:left="20"/>
              <w:spacing w:after="0" w:line="153" w:lineRule="exact"/>
              <w:rPr>
                <w:sz w:val="20"/>
                <w:szCs w:val="20"/>
                <w:color w:val="auto"/>
              </w:rPr>
            </w:pPr>
            <w:r>
              <w:rPr>
                <w:rFonts w:ascii="Arial" w:cs="Arial" w:eastAsia="Arial" w:hAnsi="Arial"/>
                <w:sz w:val="14"/>
                <w:szCs w:val="14"/>
                <w:color w:val="auto"/>
              </w:rPr>
              <w:t>CDB</w:t>
            </w:r>
          </w:p>
        </w:tc>
        <w:tc>
          <w:tcPr>
            <w:tcW w:w="9060" w:type="dxa"/>
            <w:vAlign w:val="bottom"/>
          </w:tcPr>
          <w:p>
            <w:pPr>
              <w:ind w:left="800"/>
              <w:spacing w:after="0" w:line="153" w:lineRule="exact"/>
              <w:rPr>
                <w:sz w:val="20"/>
                <w:szCs w:val="20"/>
                <w:color w:val="auto"/>
              </w:rPr>
            </w:pPr>
            <w:r>
              <w:rPr>
                <w:rFonts w:ascii="Arial" w:cs="Arial" w:eastAsia="Arial" w:hAnsi="Arial"/>
                <w:sz w:val="14"/>
                <w:szCs w:val="14"/>
                <w:color w:val="auto"/>
              </w:rPr>
              <w:t>Consumer-directed benefits offered by employers, including flexible spending and health reimbursement arrangements (“FSAs”</w:t>
            </w:r>
          </w:p>
        </w:tc>
      </w:tr>
      <w:tr>
        <w:trPr>
          <w:trHeight w:val="185"/>
        </w:trPr>
        <w:tc>
          <w:tcPr>
            <w:tcW w:w="1940" w:type="dxa"/>
            <w:vAlign w:val="bottom"/>
          </w:tcPr>
          <w:p>
            <w:pPr>
              <w:spacing w:after="0"/>
              <w:rPr>
                <w:sz w:val="16"/>
                <w:szCs w:val="16"/>
                <w:color w:val="auto"/>
              </w:rPr>
            </w:pPr>
          </w:p>
        </w:tc>
        <w:tc>
          <w:tcPr>
            <w:tcW w:w="9060" w:type="dxa"/>
            <w:vAlign w:val="bottom"/>
          </w:tcPr>
          <w:p>
            <w:pPr>
              <w:ind w:left="800"/>
              <w:spacing w:after="0"/>
              <w:rPr>
                <w:sz w:val="20"/>
                <w:szCs w:val="20"/>
                <w:color w:val="auto"/>
              </w:rPr>
            </w:pPr>
            <w:r>
              <w:rPr>
                <w:rFonts w:ascii="Arial" w:cs="Arial" w:eastAsia="Arial" w:hAnsi="Arial"/>
                <w:sz w:val="14"/>
                <w:szCs w:val="14"/>
                <w:color w:val="auto"/>
              </w:rPr>
              <w:t>and “HRAs”), Consolidated Omnibus Budget Reconciliation Act (“COBRA”) administration, commuter and other benefits.</w:t>
            </w:r>
          </w:p>
        </w:tc>
      </w:tr>
      <w:tr>
        <w:trPr>
          <w:trHeight w:val="203"/>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 member</w:t>
            </w:r>
          </w:p>
        </w:tc>
        <w:tc>
          <w:tcPr>
            <w:tcW w:w="9060" w:type="dxa"/>
            <w:vAlign w:val="bottom"/>
            <w:shd w:val="clear" w:color="auto" w:fill="CCEEFF"/>
          </w:tcPr>
          <w:p>
            <w:pPr>
              <w:ind w:left="800"/>
              <w:spacing w:after="0"/>
              <w:rPr>
                <w:sz w:val="20"/>
                <w:szCs w:val="20"/>
                <w:color w:val="auto"/>
              </w:rPr>
            </w:pPr>
            <w:r>
              <w:rPr>
                <w:rFonts w:ascii="Arial" w:cs="Arial" w:eastAsia="Arial" w:hAnsi="Arial"/>
                <w:sz w:val="14"/>
                <w:szCs w:val="14"/>
                <w:color w:val="auto"/>
              </w:rPr>
              <w:t>Consumers with HSAs that we serve.</w:t>
            </w:r>
          </w:p>
        </w:tc>
      </w:tr>
      <w:tr>
        <w:trPr>
          <w:trHeight w:val="166"/>
        </w:trPr>
        <w:tc>
          <w:tcPr>
            <w:tcW w:w="1940" w:type="dxa"/>
            <w:vAlign w:val="bottom"/>
          </w:tcPr>
          <w:p>
            <w:pPr>
              <w:ind w:left="20"/>
              <w:spacing w:after="0"/>
              <w:rPr>
                <w:sz w:val="20"/>
                <w:szCs w:val="20"/>
                <w:color w:val="auto"/>
              </w:rPr>
            </w:pPr>
            <w:r>
              <w:rPr>
                <w:rFonts w:ascii="Arial" w:cs="Arial" w:eastAsia="Arial" w:hAnsi="Arial"/>
                <w:sz w:val="14"/>
                <w:szCs w:val="14"/>
                <w:color w:val="auto"/>
              </w:rPr>
              <w:t>Total HSA Assets</w:t>
            </w:r>
          </w:p>
        </w:tc>
        <w:tc>
          <w:tcPr>
            <w:tcW w:w="9060" w:type="dxa"/>
            <w:vAlign w:val="bottom"/>
          </w:tcPr>
          <w:p>
            <w:pPr>
              <w:ind w:left="800"/>
              <w:spacing w:after="0"/>
              <w:rPr>
                <w:sz w:val="20"/>
                <w:szCs w:val="20"/>
                <w:color w:val="auto"/>
              </w:rPr>
            </w:pPr>
            <w:r>
              <w:rPr>
                <w:rFonts w:ascii="Arial" w:cs="Arial" w:eastAsia="Arial" w:hAnsi="Arial"/>
                <w:sz w:val="14"/>
                <w:szCs w:val="14"/>
                <w:color w:val="auto"/>
              </w:rPr>
              <w:t>HSA members’ custodial cash assets held by our federally insured depository partners and our insurance company partners.</w:t>
            </w:r>
          </w:p>
        </w:tc>
      </w:tr>
      <w:tr>
        <w:trPr>
          <w:trHeight w:val="190"/>
        </w:trPr>
        <w:tc>
          <w:tcPr>
            <w:tcW w:w="1940" w:type="dxa"/>
            <w:vAlign w:val="bottom"/>
          </w:tcPr>
          <w:p>
            <w:pPr>
              <w:spacing w:after="0"/>
              <w:rPr>
                <w:sz w:val="16"/>
                <w:szCs w:val="16"/>
                <w:color w:val="auto"/>
              </w:rPr>
            </w:pPr>
          </w:p>
        </w:tc>
        <w:tc>
          <w:tcPr>
            <w:tcW w:w="9060" w:type="dxa"/>
            <w:vAlign w:val="bottom"/>
          </w:tcPr>
          <w:p>
            <w:pPr>
              <w:ind w:left="800"/>
              <w:spacing w:after="0"/>
              <w:rPr>
                <w:sz w:val="20"/>
                <w:szCs w:val="20"/>
                <w:color w:val="auto"/>
              </w:rPr>
            </w:pPr>
            <w:r>
              <w:rPr>
                <w:rFonts w:ascii="Arial" w:cs="Arial" w:eastAsia="Arial" w:hAnsi="Arial"/>
                <w:sz w:val="14"/>
                <w:szCs w:val="14"/>
                <w:color w:val="auto"/>
              </w:rPr>
              <w:t>Total HSA Assets also includes HSA members' investments held by our custodial investment fund partner.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697801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78015" cy="128905"/>
                    </a:xfrm>
                    <a:prstGeom prst="rect">
                      <a:avLst/>
                    </a:prstGeom>
                    <a:noFill/>
                  </pic:spPr>
                </pic:pic>
              </a:graphicData>
            </a:graphic>
          </wp:anchor>
        </w:drawing>
      </w:r>
    </w:p>
    <w:p>
      <w:pPr>
        <w:sectPr>
          <w:pgSz w:w="11900" w:h="16838" w:orient="portrait"/>
          <w:cols w:equalWidth="0" w:num="1">
            <w:col w:w="11000"/>
          </w:cols>
          <w:pgMar w:left="320" w:top="1093" w:right="579" w:bottom="1440" w:gutter="0" w:footer="0" w:header="0"/>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Client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Accounts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Client-held funds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Network Partner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EBITDA</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Non-GAAP net income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Our employer clients.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sum of HSAs and CDBs on our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23495</wp:posOffset>
            </wp:positionV>
            <wp:extent cx="697801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8015"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Deposits held on behalf of our Clients to facilitate administration of our CDBs.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Our health plan partners, benefits administrators, and retirement plan recordkeepers.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23495</wp:posOffset>
            </wp:positionV>
            <wp:extent cx="6978015"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8015" cy="3771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Earnings before interest, taxes, depreciation and amortization, amortization of acquired intangible assets, stock-based</w:t>
      </w:r>
    </w:p>
    <w:p>
      <w:pPr>
        <w:spacing w:after="0" w:line="2" w:lineRule="exact"/>
        <w:rPr>
          <w:sz w:val="20"/>
          <w:szCs w:val="20"/>
          <w:color w:val="auto"/>
        </w:rPr>
      </w:pPr>
    </w:p>
    <w:p>
      <w:pPr>
        <w:ind w:right="300"/>
        <w:spacing w:after="0" w:line="231" w:lineRule="auto"/>
        <w:rPr>
          <w:sz w:val="20"/>
          <w:szCs w:val="20"/>
          <w:color w:val="auto"/>
        </w:rPr>
      </w:pPr>
      <w:r>
        <w:rPr>
          <w:rFonts w:ascii="Arial" w:cs="Arial" w:eastAsia="Arial" w:hAnsi="Arial"/>
          <w:sz w:val="14"/>
          <w:szCs w:val="14"/>
          <w:color w:val="auto"/>
        </w:rPr>
        <w:t>compensation expense, merger integration expenses, acquisition costs, gains and losses on equity securities, amortization of incremental costs to obtain a contract, costs associated with unused office space, and certain other non-operating items.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Calculated by adding back to GAAP net income before income taxes the following items: amortization of acquired intangible</w:t>
      </w:r>
    </w:p>
    <w:p>
      <w:pPr>
        <w:spacing w:after="0" w:line="2" w:lineRule="exact"/>
        <w:rPr>
          <w:sz w:val="20"/>
          <w:szCs w:val="20"/>
          <w:color w:val="auto"/>
        </w:rPr>
      </w:pPr>
    </w:p>
    <w:p>
      <w:pPr>
        <w:ind w:right="300"/>
        <w:spacing w:after="0" w:line="211" w:lineRule="auto"/>
        <w:rPr>
          <w:sz w:val="20"/>
          <w:szCs w:val="20"/>
          <w:color w:val="auto"/>
        </w:rPr>
      </w:pPr>
      <w:r>
        <w:rPr>
          <w:rFonts w:ascii="Arial" w:cs="Arial" w:eastAsia="Arial" w:hAnsi="Arial"/>
          <w:sz w:val="14"/>
          <w:szCs w:val="14"/>
          <w:color w:val="auto"/>
        </w:rPr>
        <w:t>assets, stock-based compensation expense, merger integration expenses, acquisition costs, gains and losses on equity securities, costs associated with unused office space, and losses on extinguishment of debt, and subtracting a non-GAAP tax</w:t>
      </w:r>
    </w:p>
    <w:p>
      <w:pPr>
        <w:spacing w:after="0"/>
        <w:rPr>
          <w:sz w:val="20"/>
          <w:szCs w:val="20"/>
          <w:color w:val="auto"/>
        </w:rPr>
      </w:pPr>
      <w:r>
        <w:rPr>
          <w:rFonts w:ascii="Arial" w:cs="Arial" w:eastAsia="Arial" w:hAnsi="Arial"/>
          <w:sz w:val="14"/>
          <w:szCs w:val="14"/>
          <w:color w:val="auto"/>
        </w:rPr>
        <w:t>provision using a normalized non-GAAP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14605</wp:posOffset>
            </wp:positionV>
            <wp:extent cx="697801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8015" cy="12890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2020" w:space="720"/>
            <w:col w:w="8260"/>
          </w:cols>
          <w:pgMar w:left="320" w:top="1093" w:right="579" w:bottom="1440" w:gutter="0" w:footer="0" w:header="0"/>
          <w:type w:val="continuous"/>
        </w:sectPr>
      </w:pPr>
    </w:p>
    <w:p>
      <w:pPr>
        <w:ind w:left="20"/>
        <w:spacing w:after="0"/>
        <w:tabs>
          <w:tab w:leader="none" w:pos="2720" w:val="left"/>
        </w:tabs>
        <w:rPr>
          <w:sz w:val="20"/>
          <w:szCs w:val="20"/>
          <w:color w:val="auto"/>
        </w:rPr>
      </w:pPr>
      <w:r>
        <w:rPr>
          <w:rFonts w:ascii="Arial" w:cs="Arial" w:eastAsia="Arial" w:hAnsi="Arial"/>
          <w:sz w:val="14"/>
          <w:szCs w:val="14"/>
          <w:color w:val="auto"/>
        </w:rPr>
        <w:t>Non-GAAP net income per diluted share</w:t>
        <w:tab/>
        <w:t>Calculated by dividing non-GAAP net income by diluted 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78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sectPr>
      <w:pgSz w:w="11900" w:h="16838" w:orient="portrait"/>
      <w:cols w:equalWidth="0" w:num="1">
        <w:col w:w="11000"/>
      </w:cols>
      <w:pgMar w:left="320" w:top="1093"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2026-05-28T16:55:09Z</dcterms:created>
  <dcterms:modified xsi:type="dcterms:W3CDTF">2026-05-28T16:55:09Z</dcterms:modified>
</cp:coreProperties>
</file>