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92075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2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45085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81" w:lineRule="exact"/>
        <w:rPr>
          <w:sz w:val="24"/>
          <w:szCs w:val="24"/>
          <w:color w:val="auto"/>
        </w:rPr>
      </w:pPr>
    </w:p>
    <w:p>
      <w:pPr>
        <w:ind w:left="580" w:hanging="261"/>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1" w:lineRule="exact"/>
        <w:rPr>
          <w:rFonts w:ascii="MS PGothic" w:cs="MS PGothic" w:eastAsia="MS PGothic" w:hAnsi="MS PGothic"/>
          <w:sz w:val="14"/>
          <w:szCs w:val="14"/>
          <w:color w:val="auto"/>
        </w:rPr>
      </w:pPr>
    </w:p>
    <w:p>
      <w:pPr>
        <w:ind w:left="40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fiscal year ended January 31, 2018</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580" w:hanging="261"/>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780" w:type="dxa"/>
            <w:vAlign w:val="bottom"/>
          </w:tcPr>
          <w:p>
            <w:pPr>
              <w:ind w:left="500"/>
              <w:spacing w:after="0"/>
              <w:rPr>
                <w:sz w:val="20"/>
                <w:szCs w:val="20"/>
                <w:color w:val="auto"/>
              </w:rPr>
            </w:pPr>
            <w:r>
              <w:rPr>
                <w:rFonts w:ascii="Arial" w:cs="Arial" w:eastAsia="Arial" w:hAnsi="Arial"/>
                <w:sz w:val="14"/>
                <w:szCs w:val="14"/>
                <w:b w:val="1"/>
                <w:bCs w:val="1"/>
                <w:color w:val="auto"/>
              </w:rPr>
              <w:t>For the transition period from</w:t>
            </w:r>
          </w:p>
        </w:tc>
        <w:tc>
          <w:tcPr>
            <w:tcW w:w="1500" w:type="dxa"/>
            <w:vAlign w:val="bottom"/>
          </w:tcPr>
          <w:p>
            <w:pPr>
              <w:ind w:left="260"/>
              <w:spacing w:after="0"/>
              <w:rPr>
                <w:sz w:val="20"/>
                <w:szCs w:val="20"/>
                <w:color w:val="auto"/>
              </w:rPr>
            </w:pPr>
            <w:r>
              <w:rPr>
                <w:rFonts w:ascii="Arial" w:cs="Arial" w:eastAsia="Arial" w:hAnsi="Arial"/>
                <w:sz w:val="14"/>
                <w:szCs w:val="14"/>
                <w:b w:val="1"/>
                <w:bCs w:val="1"/>
                <w:color w:val="auto"/>
              </w:rPr>
              <w:t>to</w:t>
            </w:r>
          </w:p>
        </w:tc>
        <w:tc>
          <w:tcPr>
            <w:tcW w:w="2440" w:type="dxa"/>
            <w:vAlign w:val="bottom"/>
          </w:tcPr>
          <w:p>
            <w:pPr>
              <w:spacing w:after="0"/>
              <w:rPr>
                <w:sz w:val="14"/>
                <w:szCs w:val="14"/>
                <w:color w:val="auto"/>
              </w:rPr>
            </w:pPr>
          </w:p>
        </w:tc>
      </w:tr>
      <w:tr>
        <w:trPr>
          <w:trHeight w:val="190"/>
        </w:trPr>
        <w:tc>
          <w:tcPr>
            <w:tcW w:w="2820" w:type="dxa"/>
            <w:vAlign w:val="bottom"/>
          </w:tcPr>
          <w:p>
            <w:pPr>
              <w:spacing w:after="0"/>
              <w:rPr>
                <w:sz w:val="16"/>
                <w:szCs w:val="16"/>
                <w:color w:val="auto"/>
              </w:rPr>
            </w:pPr>
          </w:p>
        </w:tc>
        <w:tc>
          <w:tcPr>
            <w:tcW w:w="42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Commission File Number: 001-36568</w:t>
            </w:r>
          </w:p>
        </w:tc>
        <w:tc>
          <w:tcPr>
            <w:tcW w:w="2440" w:type="dxa"/>
            <w:vAlign w:val="bottom"/>
          </w:tcPr>
          <w:p>
            <w:pPr>
              <w:spacing w:after="0"/>
              <w:rPr>
                <w:sz w:val="16"/>
                <w:szCs w:val="16"/>
                <w:color w:val="auto"/>
              </w:rPr>
            </w:pPr>
          </w:p>
        </w:tc>
      </w:tr>
      <w:tr>
        <w:trPr>
          <w:trHeight w:val="120"/>
        </w:trPr>
        <w:tc>
          <w:tcPr>
            <w:tcW w:w="2820" w:type="dxa"/>
            <w:vAlign w:val="bottom"/>
          </w:tcPr>
          <w:p>
            <w:pPr>
              <w:spacing w:after="0"/>
              <w:rPr>
                <w:sz w:val="10"/>
                <w:szCs w:val="10"/>
                <w:color w:val="auto"/>
              </w:rPr>
            </w:pPr>
          </w:p>
        </w:tc>
        <w:tc>
          <w:tcPr>
            <w:tcW w:w="4280" w:type="dxa"/>
            <w:vAlign w:val="bottom"/>
            <w:tcBorders>
              <w:bottom w:val="single" w:sz="8" w:color="auto"/>
            </w:tcBorders>
            <w:gridSpan w:val="2"/>
          </w:tcPr>
          <w:p>
            <w:pPr>
              <w:spacing w:after="0"/>
              <w:rPr>
                <w:sz w:val="10"/>
                <w:szCs w:val="10"/>
                <w:color w:val="auto"/>
              </w:rPr>
            </w:pPr>
          </w:p>
        </w:tc>
        <w:tc>
          <w:tcPr>
            <w:tcW w:w="2440" w:type="dxa"/>
            <w:vAlign w:val="bottom"/>
          </w:tcPr>
          <w:p>
            <w:pPr>
              <w:spacing w:after="0"/>
              <w:rPr>
                <w:sz w:val="10"/>
                <w:szCs w:val="10"/>
                <w:color w:val="auto"/>
              </w:rPr>
            </w:pPr>
          </w:p>
        </w:tc>
      </w:tr>
      <w:tr>
        <w:trPr>
          <w:trHeight w:val="652"/>
        </w:trPr>
        <w:tc>
          <w:tcPr>
            <w:tcW w:w="2820" w:type="dxa"/>
            <w:vAlign w:val="bottom"/>
          </w:tcPr>
          <w:p>
            <w:pPr>
              <w:spacing w:after="0"/>
              <w:rPr>
                <w:sz w:val="24"/>
                <w:szCs w:val="24"/>
                <w:color w:val="auto"/>
              </w:rPr>
            </w:pPr>
          </w:p>
        </w:tc>
        <w:tc>
          <w:tcPr>
            <w:tcW w:w="4280" w:type="dxa"/>
            <w:vAlign w:val="bottom"/>
            <w:gridSpan w:val="2"/>
          </w:tcPr>
          <w:p>
            <w:pPr>
              <w:jc w:val="center"/>
              <w:ind w:right="68"/>
              <w:spacing w:after="0"/>
              <w:rPr>
                <w:sz w:val="20"/>
                <w:szCs w:val="20"/>
                <w:color w:val="auto"/>
              </w:rPr>
            </w:pPr>
            <w:r>
              <w:rPr>
                <w:rFonts w:ascii="Arial" w:cs="Arial" w:eastAsia="Arial" w:hAnsi="Arial"/>
                <w:sz w:val="40"/>
                <w:szCs w:val="40"/>
                <w:b w:val="1"/>
                <w:bCs w:val="1"/>
                <w:color w:val="auto"/>
                <w:w w:val="97"/>
              </w:rPr>
              <w:t>HEALTHEQUITY, INC.</w:t>
            </w:r>
          </w:p>
        </w:tc>
        <w:tc>
          <w:tcPr>
            <w:tcW w:w="2440" w:type="dxa"/>
            <w:vAlign w:val="bottom"/>
          </w:tcPr>
          <w:p>
            <w:pPr>
              <w:spacing w:after="0"/>
              <w:rPr>
                <w:sz w:val="24"/>
                <w:szCs w:val="24"/>
                <w:color w:val="auto"/>
              </w:rPr>
            </w:pPr>
          </w:p>
        </w:tc>
      </w:tr>
      <w:tr>
        <w:trPr>
          <w:trHeight w:val="125"/>
        </w:trPr>
        <w:tc>
          <w:tcPr>
            <w:tcW w:w="2820" w:type="dxa"/>
            <w:vAlign w:val="bottom"/>
          </w:tcPr>
          <w:p>
            <w:pPr>
              <w:spacing w:after="0"/>
              <w:rPr>
                <w:sz w:val="10"/>
                <w:szCs w:val="10"/>
                <w:color w:val="auto"/>
              </w:rPr>
            </w:pPr>
          </w:p>
        </w:tc>
        <w:tc>
          <w:tcPr>
            <w:tcW w:w="4280" w:type="dxa"/>
            <w:vAlign w:val="bottom"/>
            <w:tcBorders>
              <w:bottom w:val="single" w:sz="8" w:color="auto"/>
            </w:tcBorders>
            <w:gridSpan w:val="2"/>
          </w:tcPr>
          <w:p>
            <w:pPr>
              <w:spacing w:after="0"/>
              <w:rPr>
                <w:sz w:val="10"/>
                <w:szCs w:val="10"/>
                <w:color w:val="auto"/>
              </w:rPr>
            </w:pPr>
          </w:p>
        </w:tc>
        <w:tc>
          <w:tcPr>
            <w:tcW w:w="2440" w:type="dxa"/>
            <w:vAlign w:val="bottom"/>
          </w:tcPr>
          <w:p>
            <w:pPr>
              <w:spacing w:after="0"/>
              <w:rPr>
                <w:sz w:val="10"/>
                <w:szCs w:val="10"/>
                <w:color w:val="auto"/>
              </w:rPr>
            </w:pPr>
          </w:p>
        </w:tc>
      </w:tr>
      <w:tr>
        <w:trPr>
          <w:trHeight w:val="171"/>
        </w:trPr>
        <w:tc>
          <w:tcPr>
            <w:tcW w:w="2820" w:type="dxa"/>
            <w:vAlign w:val="bottom"/>
          </w:tcPr>
          <w:p>
            <w:pPr>
              <w:spacing w:after="0"/>
              <w:rPr>
                <w:sz w:val="14"/>
                <w:szCs w:val="14"/>
                <w:color w:val="auto"/>
              </w:rPr>
            </w:pPr>
          </w:p>
        </w:tc>
        <w:tc>
          <w:tcPr>
            <w:tcW w:w="4280" w:type="dxa"/>
            <w:vAlign w:val="bottom"/>
            <w:gridSpan w:val="2"/>
          </w:tcPr>
          <w:p>
            <w:pPr>
              <w:jc w:val="center"/>
              <w:ind w:right="48"/>
              <w:spacing w:after="0"/>
              <w:rPr>
                <w:sz w:val="20"/>
                <w:szCs w:val="20"/>
                <w:color w:val="auto"/>
              </w:rPr>
            </w:pPr>
            <w:r>
              <w:rPr>
                <w:rFonts w:ascii="Arial" w:cs="Arial" w:eastAsia="Arial" w:hAnsi="Arial"/>
                <w:sz w:val="14"/>
                <w:szCs w:val="14"/>
                <w:color w:val="auto"/>
              </w:rPr>
              <w:t>(Exact name as specified in its charter)</w:t>
            </w:r>
          </w:p>
        </w:tc>
        <w:tc>
          <w:tcPr>
            <w:tcW w:w="2440" w:type="dxa"/>
            <w:vAlign w:val="bottom"/>
          </w:tcPr>
          <w:p>
            <w:pPr>
              <w:spacing w:after="0"/>
              <w:rPr>
                <w:sz w:val="14"/>
                <w:szCs w:val="14"/>
                <w:color w:val="auto"/>
              </w:rPr>
            </w:pPr>
          </w:p>
        </w:tc>
      </w:tr>
      <w:tr>
        <w:trPr>
          <w:trHeight w:val="324"/>
        </w:trPr>
        <w:tc>
          <w:tcPr>
            <w:tcW w:w="2820" w:type="dxa"/>
            <w:vAlign w:val="bottom"/>
          </w:tcPr>
          <w:p>
            <w:pPr>
              <w:jc w:val="center"/>
              <w:ind w:right="708"/>
              <w:spacing w:after="0"/>
              <w:rPr>
                <w:sz w:val="20"/>
                <w:szCs w:val="20"/>
                <w:color w:val="auto"/>
              </w:rPr>
            </w:pPr>
            <w:r>
              <w:rPr>
                <w:rFonts w:ascii="Arial" w:cs="Arial" w:eastAsia="Arial" w:hAnsi="Arial"/>
                <w:sz w:val="14"/>
                <w:szCs w:val="14"/>
                <w:b w:val="1"/>
                <w:bCs w:val="1"/>
                <w:color w:val="auto"/>
              </w:rPr>
              <w:t>Delaware</w:t>
            </w:r>
          </w:p>
        </w:tc>
        <w:tc>
          <w:tcPr>
            <w:tcW w:w="2780" w:type="dxa"/>
            <w:vAlign w:val="bottom"/>
          </w:tcPr>
          <w:p>
            <w:pPr>
              <w:jc w:val="center"/>
              <w:ind w:left="1290"/>
              <w:spacing w:after="0"/>
              <w:rPr>
                <w:sz w:val="20"/>
                <w:szCs w:val="20"/>
                <w:color w:val="auto"/>
              </w:rPr>
            </w:pPr>
            <w:r>
              <w:rPr>
                <w:rFonts w:ascii="Arial" w:cs="Arial" w:eastAsia="Arial" w:hAnsi="Arial"/>
                <w:sz w:val="14"/>
                <w:szCs w:val="14"/>
                <w:b w:val="1"/>
                <w:bCs w:val="1"/>
                <w:color w:val="auto"/>
              </w:rPr>
              <w:t>7389</w:t>
            </w:r>
          </w:p>
        </w:tc>
        <w:tc>
          <w:tcPr>
            <w:tcW w:w="1500" w:type="dxa"/>
            <w:vAlign w:val="bottom"/>
          </w:tcPr>
          <w:p>
            <w:pPr>
              <w:spacing w:after="0"/>
              <w:rPr>
                <w:sz w:val="24"/>
                <w:szCs w:val="24"/>
                <w:color w:val="auto"/>
              </w:rPr>
            </w:pP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52-2383166</w:t>
            </w:r>
          </w:p>
        </w:tc>
      </w:tr>
      <w:tr>
        <w:trPr>
          <w:trHeight w:val="242"/>
        </w:trPr>
        <w:tc>
          <w:tcPr>
            <w:tcW w:w="2820" w:type="dxa"/>
            <w:vAlign w:val="bottom"/>
          </w:tcPr>
          <w:p>
            <w:pPr>
              <w:jc w:val="center"/>
              <w:ind w:right="708"/>
              <w:spacing w:after="0"/>
              <w:rPr>
                <w:sz w:val="20"/>
                <w:szCs w:val="20"/>
                <w:color w:val="auto"/>
              </w:rPr>
            </w:pPr>
            <w:r>
              <w:rPr>
                <w:rFonts w:ascii="Arial" w:cs="Arial" w:eastAsia="Arial" w:hAnsi="Arial"/>
                <w:sz w:val="14"/>
                <w:szCs w:val="14"/>
                <w:b w:val="1"/>
                <w:bCs w:val="1"/>
                <w:color w:val="auto"/>
              </w:rPr>
              <w:t>(State or other jurisdiction of</w:t>
            </w: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(Primary Standard Industrial</w:t>
            </w:r>
          </w:p>
        </w:tc>
        <w:tc>
          <w:tcPr>
            <w:tcW w:w="2440" w:type="dxa"/>
            <w:vAlign w:val="bottom"/>
          </w:tcPr>
          <w:p>
            <w:pPr>
              <w:jc w:val="center"/>
              <w:ind w:left="82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820" w:type="dxa"/>
            <w:vAlign w:val="bottom"/>
          </w:tcPr>
          <w:p>
            <w:pPr>
              <w:jc w:val="center"/>
              <w:ind w:right="708"/>
              <w:spacing w:after="0"/>
              <w:rPr>
                <w:sz w:val="20"/>
                <w:szCs w:val="20"/>
                <w:color w:val="auto"/>
              </w:rPr>
            </w:pPr>
            <w:r>
              <w:rPr>
                <w:rFonts w:ascii="Arial" w:cs="Arial" w:eastAsia="Arial" w:hAnsi="Arial"/>
                <w:sz w:val="14"/>
                <w:szCs w:val="14"/>
                <w:b w:val="1"/>
                <w:bCs w:val="1"/>
                <w:color w:val="auto"/>
              </w:rPr>
              <w:t>incorporation or organization)</w:t>
            </w: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Classification Code Number)</w:t>
            </w: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Identification Number)</w:t>
            </w:r>
          </w:p>
        </w:tc>
      </w:tr>
    </w:tbl>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15 West Scenic Pointe Drive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80"/>
          </w:cols>
          <w:pgMar w:left="240" w:top="207" w:right="279" w:bottom="1440" w:gutter="0" w:footer="0" w:header="0"/>
        </w:sectPr>
      </w:pPr>
    </w:p>
    <w:p>
      <w:pPr>
        <w:spacing w:after="0" w:line="163" w:lineRule="exact"/>
        <w:rPr>
          <w:sz w:val="24"/>
          <w:szCs w:val="24"/>
          <w:color w:val="auto"/>
        </w:rPr>
      </w:pPr>
    </w:p>
    <w:p>
      <w:pPr>
        <w:ind w:left="30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2">
            <w:col w:w="5560" w:space="720"/>
            <w:col w:w="5100"/>
          </w:cols>
          <w:pgMar w:left="240" w:top="207" w:right="279" w:bottom="1440" w:gutter="0" w:footer="0" w:header="0"/>
          <w:type w:val="continuous"/>
        </w:sectPr>
      </w:pPr>
    </w:p>
    <w:p>
      <w:pPr>
        <w:ind w:left="220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172" w:lineRule="exact"/>
        <w:rPr>
          <w:sz w:val="24"/>
          <w:szCs w:val="24"/>
          <w:color w:val="auto"/>
        </w:rPr>
      </w:pPr>
    </w:p>
    <w:p>
      <w:pPr>
        <w:sectPr>
          <w:pgSz w:w="11900" w:h="16838" w:orient="portrait"/>
          <w:cols w:equalWidth="0" w:num="2">
            <w:col w:w="5960" w:space="720"/>
            <w:col w:w="4700"/>
          </w:cols>
          <w:pgMar w:left="240" w:top="207" w:right="27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160655</wp:posOffset>
            </wp:positionV>
            <wp:extent cx="2727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5100"/>
        <w:spacing w:after="0" w:line="1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8" w:lineRule="exact"/>
        <w:rPr>
          <w:sz w:val="24"/>
          <w:szCs w:val="24"/>
          <w:color w:val="auto"/>
        </w:rPr>
      </w:pPr>
    </w:p>
    <w:p>
      <w:pPr>
        <w:ind w:right="260"/>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160"/>
        <w:spacing w:after="0" w:line="132"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to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420"/>
        <w:spacing w:after="0" w:line="132"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129" w:lineRule="exact"/>
        <w:rPr>
          <w:sz w:val="24"/>
          <w:szCs w:val="24"/>
          <w:color w:val="auto"/>
        </w:rPr>
      </w:pPr>
    </w:p>
    <w:p>
      <w:pPr>
        <w:ind w:right="320"/>
        <w:spacing w:after="0" w:line="41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168"/>
        </w:trPr>
        <w:tc>
          <w:tcPr>
            <w:tcW w:w="15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47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ind w:left="208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1"/>
                <w:szCs w:val="11"/>
                <w:color w:val="auto"/>
              </w:rPr>
              <w:t>Non-accelerated filer</w:t>
            </w:r>
          </w:p>
        </w:tc>
        <w:tc>
          <w:tcPr>
            <w:tcW w:w="4700" w:type="dxa"/>
            <w:vAlign w:val="bottom"/>
          </w:tcPr>
          <w:p>
            <w:pPr>
              <w:ind w:left="30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(Do not check if a smaller reporting company)</w:t>
            </w:r>
          </w:p>
        </w:tc>
        <w:tc>
          <w:tcPr>
            <w:tcW w:w="3960" w:type="dxa"/>
            <w:vAlign w:val="bottom"/>
          </w:tcPr>
          <w:p>
            <w:pPr>
              <w:ind w:left="208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4700" w:type="dxa"/>
            <w:vAlign w:val="bottom"/>
            <w:vMerge w:val="restart"/>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tcPr>
          <w:p>
            <w:pPr>
              <w:spacing w:after="0"/>
              <w:rPr>
                <w:sz w:val="9"/>
                <w:szCs w:val="9"/>
                <w:color w:val="auto"/>
              </w:rPr>
            </w:pPr>
          </w:p>
        </w:tc>
        <w:tc>
          <w:tcPr>
            <w:tcW w:w="4700" w:type="dxa"/>
            <w:vAlign w:val="bottom"/>
            <w:vMerge w:val="continue"/>
          </w:tcPr>
          <w:p>
            <w:pPr>
              <w:spacing w:after="0"/>
              <w:rPr>
                <w:sz w:val="9"/>
                <w:szCs w:val="9"/>
                <w:color w:val="auto"/>
              </w:rPr>
            </w:pPr>
          </w:p>
        </w:tc>
        <w:tc>
          <w:tcPr>
            <w:tcW w:w="3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ind w:right="12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6"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3" w:lineRule="exact"/>
        <w:rPr>
          <w:sz w:val="24"/>
          <w:szCs w:val="24"/>
          <w:color w:val="auto"/>
        </w:rPr>
      </w:pPr>
    </w:p>
    <w:p>
      <w:pPr>
        <w:spacing w:after="0" w:line="234"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31, 2017, based on the closing price of $45.87 for shares of the registrant’s common stock as reported by the NASDAQ Global Select Market was approximately $2.3 billion. For purposes of determining whether a stockholder was an affiliate of the registrant at July 31, 2017, the registrant assumed that a stockholder was an affiliate of the registrant at July 31, 2017 if such stockholder (i) beneficially owned 10% or more of the registrant’s capital stock, as determined based on public filings, and/or (ii) was an executive officer or director, or was affiliated with an executive officer or director of the registrant, at July 31, 2017. This determination of affiliate status is not necessarily a conclusive determination for other purposes.</w:t>
      </w:r>
    </w:p>
    <w:p>
      <w:pPr>
        <w:spacing w:after="0" w:line="74"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28, 2018, there were 60,952,042 shares of the registrant's common stock outstanding.</w:t>
      </w:r>
    </w:p>
    <w:p>
      <w:pPr>
        <w:spacing w:after="0" w:line="105"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DOCUMENTS INCORPORATED BY REFERENCE</w:t>
      </w:r>
    </w:p>
    <w:p>
      <w:pPr>
        <w:spacing w:after="0" w:line="169" w:lineRule="exact"/>
        <w:rPr>
          <w:sz w:val="24"/>
          <w:szCs w:val="24"/>
          <w:color w:val="auto"/>
        </w:rPr>
      </w:pPr>
    </w:p>
    <w:p>
      <w:pPr>
        <w:jc w:val="center"/>
        <w:ind w:left="280" w:right="80"/>
        <w:spacing w:after="0" w:line="416" w:lineRule="auto"/>
        <w:rPr>
          <w:sz w:val="20"/>
          <w:szCs w:val="20"/>
          <w:color w:val="auto"/>
        </w:rPr>
      </w:pPr>
      <w:r>
        <w:rPr>
          <w:rFonts w:ascii="Arial" w:cs="Arial" w:eastAsia="Arial" w:hAnsi="Arial"/>
          <w:sz w:val="11"/>
          <w:szCs w:val="11"/>
          <w:color w:val="auto"/>
        </w:rPr>
        <w:t>Portions of the Registrant's definitive proxy statement related to its 2018 annual meeting of shareholders (the "2018 Proxy Statement") are incorporated by reference into Part III of this Annual Report on Form 10-K where indicated. The 2018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135255</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1380"/>
          </w:cols>
          <w:pgMar w:left="240" w:top="207"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36"/>
        </w:trPr>
        <w:tc>
          <w:tcPr>
            <w:tcW w:w="1180" w:type="dxa"/>
            <w:vAlign w:val="bottom"/>
          </w:tcPr>
          <w:p>
            <w:pPr>
              <w:ind w:left="40"/>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740" w:type="dxa"/>
            <w:vAlign w:val="bottom"/>
            <w:shd w:val="clear" w:color="auto" w:fill="CCEEFF"/>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940" w:type="dxa"/>
            <w:vAlign w:val="bottom"/>
            <w:gridSpan w:val="22"/>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680" w:type="dxa"/>
            <w:vAlign w:val="bottom"/>
            <w:gridSpan w:val="23"/>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680" w:type="dxa"/>
            <w:vAlign w:val="bottom"/>
            <w:gridSpan w:val="23"/>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2180" w:type="dxa"/>
            <w:vAlign w:val="bottom"/>
            <w:gridSpan w:val="1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7500" w:type="dxa"/>
            <w:vAlign w:val="bottom"/>
            <w:gridSpan w:val="11"/>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480" w:type="dxa"/>
            <w:vAlign w:val="bottom"/>
            <w:gridSpan w:val="6"/>
            <w:shd w:val="clear" w:color="auto" w:fill="CCEEFF"/>
          </w:tcPr>
          <w:p>
            <w:pPr>
              <w:spacing w:after="0" w:line="20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Legal proceedings</w:t>
              </w:r>
            </w:hyperlink>
          </w:p>
        </w:tc>
        <w:tc>
          <w:tcPr>
            <w:tcW w:w="8200" w:type="dxa"/>
            <w:vAlign w:val="bottom"/>
            <w:gridSpan w:val="17"/>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680" w:type="dxa"/>
            <w:vAlign w:val="bottom"/>
            <w:gridSpan w:val="23"/>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680" w:type="dxa"/>
            <w:vAlign w:val="bottom"/>
            <w:gridSpan w:val="23"/>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820" w:type="dxa"/>
            <w:vAlign w:val="bottom"/>
            <w:gridSpan w:val="8"/>
            <w:shd w:val="clear" w:color="auto" w:fill="CCEEFF"/>
          </w:tcPr>
          <w:p>
            <w:pPr>
              <w:spacing w:after="0" w:line="20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Selected financial data</w:t>
              </w:r>
            </w:hyperlink>
          </w:p>
        </w:tc>
        <w:tc>
          <w:tcPr>
            <w:tcW w:w="7860" w:type="dxa"/>
            <w:vAlign w:val="bottom"/>
            <w:gridSpan w:val="15"/>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680" w:type="dxa"/>
            <w:vAlign w:val="bottom"/>
            <w:gridSpan w:val="23"/>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560" w:type="dxa"/>
            <w:vAlign w:val="bottom"/>
            <w:gridSpan w:val="17"/>
            <w:shd w:val="clear" w:color="auto" w:fill="CCEEFF"/>
          </w:tcPr>
          <w:p>
            <w:pPr>
              <w:spacing w:after="0" w:line="20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Quantitative and qualitative disclosures about market risk</w:t>
              </w:r>
            </w:hyperlink>
          </w:p>
        </w:tc>
        <w:tc>
          <w:tcPr>
            <w:tcW w:w="5120" w:type="dxa"/>
            <w:vAlign w:val="bottom"/>
            <w:gridSpan w:val="6"/>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4560" w:type="dxa"/>
            <w:vAlign w:val="bottom"/>
            <w:gridSpan w:val="17"/>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120" w:type="dxa"/>
            <w:vAlign w:val="bottom"/>
            <w:gridSpan w:val="6"/>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980" w:type="dxa"/>
            <w:vAlign w:val="bottom"/>
            <w:gridSpan w:val="20"/>
            <w:shd w:val="clear" w:color="auto" w:fill="CCEEFF"/>
          </w:tcPr>
          <w:p>
            <w:pPr>
              <w:spacing w:after="0" w:line="20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Changes in and disagreements with accountants on accounting and financial disclosure</w:t>
              </w:r>
            </w:hyperlink>
          </w:p>
        </w:tc>
        <w:tc>
          <w:tcPr>
            <w:tcW w:w="2700" w:type="dxa"/>
            <w:vAlign w:val="bottom"/>
            <w:gridSpan w:val="3"/>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980" w:type="dxa"/>
            <w:vAlign w:val="bottom"/>
            <w:gridSpan w:val="20"/>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2700" w:type="dxa"/>
            <w:vAlign w:val="bottom"/>
            <w:gridSpan w:val="3"/>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680" w:type="dxa"/>
            <w:vAlign w:val="bottom"/>
            <w:gridSpan w:val="23"/>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50"/>
        </w:trPr>
        <w:tc>
          <w:tcPr>
            <w:tcW w:w="11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III.</w:t>
            </w: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10.</w:t>
            </w:r>
          </w:p>
        </w:tc>
        <w:tc>
          <w:tcPr>
            <w:tcW w:w="9680" w:type="dxa"/>
            <w:vAlign w:val="bottom"/>
            <w:gridSpan w:val="23"/>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360" w:type="dxa"/>
            <w:vAlign w:val="bottom"/>
            <w:gridSpan w:val="16"/>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5320" w:type="dxa"/>
            <w:vAlign w:val="bottom"/>
            <w:gridSpan w:val="7"/>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7780" w:type="dxa"/>
            <w:vAlign w:val="bottom"/>
            <w:gridSpan w:val="21"/>
            <w:shd w:val="clear" w:color="auto" w:fill="CCEEFF"/>
          </w:tcPr>
          <w:p>
            <w:pPr>
              <w:spacing w:after="0" w:line="20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Security ownership of certain beneficial owners and management and related stockholder matters</w:t>
              </w:r>
            </w:hyperlink>
          </w:p>
        </w:tc>
        <w:tc>
          <w:tcPr>
            <w:tcW w:w="1900" w:type="dxa"/>
            <w:vAlign w:val="bottom"/>
            <w:gridSpan w:val="2"/>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780" w:type="dxa"/>
            <w:vAlign w:val="bottom"/>
            <w:gridSpan w:val="21"/>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680" w:type="dxa"/>
            <w:vAlign w:val="bottom"/>
            <w:gridSpan w:val="23"/>
            <w:shd w:val="clear" w:color="auto" w:fill="CCEEFF"/>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50"/>
        </w:trPr>
        <w:tc>
          <w:tcPr>
            <w:tcW w:w="11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IV.</w:t>
            </w: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15.</w:t>
            </w:r>
          </w:p>
        </w:tc>
        <w:tc>
          <w:tcPr>
            <w:tcW w:w="3400" w:type="dxa"/>
            <w:vAlign w:val="bottom"/>
            <w:gridSpan w:val="14"/>
            <w:shd w:val="clear" w:color="auto" w:fill="CCEEFF"/>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Exhibits and financial statement schedules</w:t>
              </w:r>
            </w:hyperlink>
          </w:p>
        </w:tc>
        <w:tc>
          <w:tcPr>
            <w:tcW w:w="6280" w:type="dxa"/>
            <w:vAlign w:val="bottom"/>
            <w:gridSpan w:val="9"/>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3400" w:type="dxa"/>
            <w:vAlign w:val="bottom"/>
            <w:gridSpan w:val="14"/>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Form 10-K Summary</w:t>
              </w:r>
            </w:hyperlink>
          </w:p>
        </w:tc>
        <w:tc>
          <w:tcPr>
            <w:tcW w:w="6280" w:type="dxa"/>
            <w:vAlign w:val="bottom"/>
            <w:gridSpan w:val="9"/>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180" w:type="dxa"/>
            <w:vAlign w:val="bottom"/>
            <w:shd w:val="clear" w:color="auto" w:fill="CCEEFF"/>
          </w:tcPr>
          <w:p>
            <w:pPr>
              <w:spacing w:after="0"/>
              <w:rPr>
                <w:sz w:val="19"/>
                <w:szCs w:val="19"/>
                <w:color w:val="auto"/>
              </w:rPr>
            </w:pPr>
          </w:p>
        </w:tc>
        <w:tc>
          <w:tcPr>
            <w:tcW w:w="9680" w:type="dxa"/>
            <w:vAlign w:val="bottom"/>
            <w:gridSpan w:val="23"/>
            <w:shd w:val="clear" w:color="auto" w:fill="CCEEFF"/>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560" w:type="dxa"/>
            <w:vAlign w:val="bottom"/>
            <w:gridSpan w:val="4"/>
            <w:shd w:val="clear" w:color="auto" w:fill="CCEEFF"/>
          </w:tcPr>
          <w:p>
            <w:pPr>
              <w:jc w:val="right"/>
              <w:ind w:right="20"/>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28"/>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ectPr>
          <w:pgSz w:w="11900" w:h="16838" w:orient="portrait"/>
          <w:cols w:equalWidth="0" w:num="1">
            <w:col w:w="11420"/>
          </w:cols>
          <w:pgMar w:left="240" w:top="346"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These forward-looking statements include, without limitation, statements regarding our industry, business strategy, plans, goals and expectations concerning our markets and market position, future operations, expenses and other results of operations, margins, profitability, tax rates,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risks related to the following:</w:t>
      </w:r>
    </w:p>
    <w:p>
      <w:pPr>
        <w:spacing w:after="0" w:line="4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a rapidly evolving healthcare industry;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continued availability and benefits of tax-advantaged health savings accounts;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competition we face and may face in the future, including from those with greater resources than us;</w:t>
      </w:r>
    </w:p>
    <w:p>
      <w:pPr>
        <w:spacing w:after="0" w:line="63"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breaches of our platform and other data interruptions, including resulting costs and liabilities, reputational damage and loss of business;</w:t>
      </w:r>
    </w:p>
    <w:p>
      <w:pPr>
        <w:spacing w:after="0" w:line="34"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uncertain healthcare environment, including changes in healthcare programs and expenditures and related regulations;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current and future privacy, healthcare, tax, investment advisor and other laws applicable to our business;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partners and third party vendors for distribution and important services;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additional portfolio purchases or acquisition targets;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updated features for our platform and successfully manage our growth;</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other intellectual property rights;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management team and key team members;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leader and an innovator in the high 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 We can integrate with any health plan or banking institution to be the independent and trusted partner that enables consumers as they seek to manage, save and spend their healthcare dollars. We believe the secular shift to greater consumer responsibility for healthcare costs will require a significant portion of the approximately 190 million under-age 65 consumers with private health insurance in the United States to use a platform such as ours.</w:t>
      </w:r>
    </w:p>
    <w:p>
      <w:pPr>
        <w:spacing w:after="0" w:line="9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core of our ecosystem is the health savings account, or HSA, a financial account through which consumers spend and save long term for healthcare on a tax-advantaged basis. We refer to the HSAs for which we serve as custodian as our HSA Members. As of January 31, 2018, we were the integrated HSA platform for 124 health plan and administrator partners and for employees at more than 40,000 employer clients. Our customers include individuals, employers of all sizes, health plans, and administrators. We refer to our individual customers as our members, our health plan and administrator customers as our Health Plan and Administrator Partners and our employer clients as our Employer Partners. Our Health Plan and Administrator Partners and Employer Partners collectively constitute our Network Partners. As of January 31, 2018, we had over 3.4 million HSAs on our platform. Management estimates that this represents over 7.5 million lives. During the years ended January 31, 2018, 2017 and 2016, we added approximately 723,000, 703,000 and 751,000 new HSA Members, representing approximately 1.6 million, 1.5 million and 1.7 million lives, respectively.</w:t>
      </w:r>
    </w:p>
    <w:p>
      <w:pPr>
        <w:spacing w:after="0" w:line="10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have developed technology and a differentiated focus on the consumer to facilitate the transition to a more consumer-centric approach to healthcare saving and spending. Our solution is deployed as a cloud-based platform that is accessible to our customers through the Internet and on mobile devices and is hosted on private servers, which allows us to scale on demand. Core to our technology is a configurable framework and open platform that we believe provides us greater functionality and flexibility than generic technologies used by our legacy competitors and requires less investment and time to configure and customize to our customers’ needs.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able to seamlessly integrate third-party applications into our platform, which has afforded us an advantage in an expanding consumer healthcare landscape. A growing number of companies are attempting to integrate into the consumer's daily healthcare spending experience by leveraging our platform. These companies offer functions such as price transparency, benefits enrollment, population health, wellness, analytics, health insurance and investment services, and are looking to reach the consumer at the critical "save" and "spend" moment. In an effort to capitalize on this opportunity, we continue to expand the number of ecosystem partners with whom our platform is integrated.</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business model provides strong visibility into our future operating performance. As of the beginning of the past several fiscal years, we had approximately 90% visibility into the revenue of the subsequent fiscal year. We earn monthly service revenue primarily through contracts with our Network Partners and our custodial agreements with individual members. We earn custodial revenue primarily from our custodial cash assets that are deposited with our FDIC-insured custodial depository bank partners or invested in an annuity contract with our insurance company partner. In addition, we earn recordkeeping fees in respect of assets held with our investments partner and we earn fees for investment advisory services through our registered investment advisor subsidiary. We also earn interchange revenue, which is primarily interchange fees charged to merchants on payments made with our cards via payment networks. Monthly service revenue, custodial revenue, and interchange revenue are recurring in nature, providing strong visibility into our future business.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Healthcare saving and spending platform. </w:t>
      </w:r>
      <w:r>
        <w:rPr>
          <w:rFonts w:ascii="Arial" w:cs="Arial" w:eastAsia="Arial" w:hAnsi="Arial"/>
          <w:sz w:val="18"/>
          <w:szCs w:val="18"/>
          <w:color w:val="auto"/>
        </w:rPr>
        <w:t>We offer a cloud-based platform, accessed by our members online via a desktop or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through which individuals can make health saving and spending decisions, pay healthcare bills, compare treatment options and prices, receive personalized benefit and clinical information, earn wellness incentives, grow their savings and make investment choices. The platform provides users with access to services we provide as well as services provided by third parties selected by us or by our Network Partners.</w:t>
      </w:r>
    </w:p>
    <w:p>
      <w:pPr>
        <w:spacing w:after="0" w:line="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Among other features, the platform includes the capability to present to users medical bills upon adjudication by a health plan, including details such as the amount paid by insurance, specific nature of the medical service provided, and diagnostic code. Users of the platform can pay these bills from an account of ours or from any bank account, online, via a mobile device, or using our payment card. All users of the platform gain access to our healthcare consumer specialists, available every hour of every day, via a toll-free telephone number or email. Our specialists can assist users with such tasks as contacting a medical provider to dispute a bill, negotiating a payment schedule, optimizing the use of tax-advantaged accounts to reduce medical spending or selecting from among medical plans offered by an employer or health plan.</w:t>
      </w:r>
    </w:p>
    <w:p>
      <w:pPr>
        <w:spacing w:after="0" w:line="7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a tax-exempt trust or custodial account managed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custodian that is a bank, an insurance company, or a non-bank custodian specifically authorized by the Internal Revenue Service, or IRS, as meeting certain ownership, capitalization, expertise and governance requirements. We are an IRS approved non-bank custodian of our members' HSAs, designated to serve as both a passive and non-passive non-bank custodian of HSAs.</w:t>
      </w:r>
    </w:p>
    <w:p>
      <w:pPr>
        <w:spacing w:after="0" w:line="9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To be eligible to contribute to an HSA, an individual must be covered under a high deductible healthcare plan, or HDHP, have no additional health coverage, not be enrolled in Medicare, and not be claimed as a dependent on someone else’s tax return. HSAs have several tax-advantaged benefits, which we call the "triple tax savings": (1) individuals can claim a tax deduction for contributions they make to their HSAs, and contributions that their employers make to their HSAs may be excluded from their gross income for purposes of federal and most state income and employment tax; (2) the interest or earnings on the assets in the account, including reinvestment, accumulate without being subject to tax; and (3) distributions may be tax free if they are used to pay qualified medical expenses. There is no requirement to provide receipts to us to substantiate HSA distributions to members, whether made through our payment card or directly from our online platform. Additionally, taxable distributions other than for qualified medical expenses are permitted without penalty (although subject to income tax) after age 65. Balances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Investment platform and advisory services. </w:t>
      </w:r>
      <w:r>
        <w:rPr>
          <w:rFonts w:ascii="Arial" w:cs="Arial" w:eastAsia="Arial" w:hAnsi="Arial"/>
          <w:sz w:val="18"/>
          <w:szCs w:val="18"/>
          <w:color w:val="auto"/>
        </w:rPr>
        <w:t>We offer a mutual fund investment platform and an online-only automated investment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to all of our members whose account balances exceed a stated threshold. These services are entirely elective to the member. The advisory service is delivered through a web-based tool, Advisor</w:t>
      </w:r>
      <w:r>
        <w:rPr>
          <w:rFonts w:ascii="Arial" w:cs="Arial" w:eastAsia="Arial" w:hAnsi="Arial"/>
          <w:sz w:val="21"/>
          <w:szCs w:val="21"/>
          <w:color w:val="auto"/>
          <w:vertAlign w:val="superscript"/>
        </w:rPr>
        <w:t>TM</w:t>
      </w:r>
      <w:r>
        <w:rPr>
          <w:rFonts w:ascii="Arial" w:cs="Arial" w:eastAsia="Arial" w:hAnsi="Arial"/>
          <w:sz w:val="18"/>
          <w:szCs w:val="18"/>
          <w:color w:val="auto"/>
        </w:rPr>
        <w:t>, which is offered and managed by HealthEquity Advisors, LLC, our SEC-registered investment adviser subsidiary. HealthEquity Advisors, LLC provides investment advice to its clients exclusively through the Advisor</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tool on an interactive website. Members who utilize our mutual fund investment platform or subscribe for Advisor</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services pay asset-based fees, which include the cost of the advisory service and all trading commissions and other expenses associated with transactions made through these online tools.</w:t>
      </w:r>
    </w:p>
    <w:p>
      <w:pPr>
        <w:spacing w:after="0" w:line="103"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Advisor</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provides investment education guidance and management, including maintaining HSA cash (liquidity) in amounts directed by the member, targeting risk appropriate portfolio diversification, and mutual fund selection.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levels of service to investors:</w:t>
      </w:r>
    </w:p>
    <w:p>
      <w:pPr>
        <w:spacing w:after="0" w:line="45" w:lineRule="exact"/>
        <w:rPr>
          <w:sz w:val="20"/>
          <w:szCs w:val="20"/>
          <w:color w:val="auto"/>
        </w:rPr>
      </w:pPr>
    </w:p>
    <w:p>
      <w:pPr>
        <w:ind w:left="340" w:right="5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For members who do not subscribe for Advisor</w:t>
      </w:r>
      <w:r>
        <w:rPr>
          <w:rFonts w:ascii="Arial" w:cs="Arial" w:eastAsia="Arial" w:hAnsi="Arial"/>
          <w:sz w:val="21"/>
          <w:szCs w:val="21"/>
          <w:color w:val="auto"/>
          <w:vertAlign w:val="superscript"/>
        </w:rPr>
        <w:t>TM</w:t>
      </w:r>
      <w:r>
        <w:rPr>
          <w:rFonts w:ascii="Arial" w:cs="Arial" w:eastAsia="Arial" w:hAnsi="Arial"/>
          <w:sz w:val="18"/>
          <w:szCs w:val="18"/>
          <w:color w:val="auto"/>
        </w:rPr>
        <w:t>, we provide a mutual fund investment platform to invest HSA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we nor Advisor</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provides advice to members in respect of investments among funds on the platform;</w:t>
      </w:r>
    </w:p>
    <w:p>
      <w:pPr>
        <w:spacing w:after="0" w:line="1" w:lineRule="exact"/>
        <w:rPr>
          <w:rFonts w:ascii="Arial" w:cs="Arial" w:eastAsia="Arial" w:hAnsi="Arial"/>
          <w:sz w:val="18"/>
          <w:szCs w:val="18"/>
          <w:color w:val="auto"/>
        </w:rPr>
      </w:pPr>
    </w:p>
    <w:p>
      <w:pPr>
        <w:ind w:left="340" w:right="280" w:hanging="332"/>
        <w:spacing w:after="0" w:line="23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GPS: </w:t>
      </w:r>
      <w:r>
        <w:rPr>
          <w:rFonts w:ascii="Arial" w:cs="Arial" w:eastAsia="Arial" w:hAnsi="Arial"/>
          <w:sz w:val="18"/>
          <w:szCs w:val="18"/>
          <w:color w:val="auto"/>
        </w:rPr>
        <w:t>Advisor</w:t>
      </w:r>
      <w:r>
        <w:rPr>
          <w:rFonts w:ascii="Arial" w:cs="Arial" w:eastAsia="Arial" w:hAnsi="Arial"/>
          <w:sz w:val="21"/>
          <w:szCs w:val="2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and advice, but the member makes the final investment decisions and implements portfolio allocation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investment advice through the HealthEquity platform; and</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Auto-pilot: </w:t>
      </w:r>
      <w:r>
        <w:rPr>
          <w:rFonts w:ascii="Arial" w:cs="Arial" w:eastAsia="Arial" w:hAnsi="Arial"/>
          <w:sz w:val="18"/>
          <w:szCs w:val="18"/>
          <w:color w:val="auto"/>
        </w:rPr>
        <w:t>Advisor</w:t>
      </w:r>
      <w:r>
        <w:rPr>
          <w:rFonts w:ascii="Arial" w:cs="Arial" w:eastAsia="Arial" w:hAnsi="Arial"/>
          <w:sz w:val="21"/>
          <w:szCs w:val="2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manages the account and implements portfolio allocation and investment advice automatically for the member.</w:t>
      </w:r>
    </w:p>
    <w:p>
      <w:pPr>
        <w:spacing w:after="0" w:line="4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Regardless of the level of service selected, members are responsible for their proportionate share of fees and expenses payable by the underlying mutual funds and other investment vehicles in which they invest.</w:t>
      </w:r>
    </w:p>
    <w:p>
      <w:pPr>
        <w:spacing w:after="0" w:line="6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Reimbursement arrangements. </w:t>
      </w:r>
      <w:r>
        <w:rPr>
          <w:rFonts w:ascii="Arial" w:cs="Arial" w:eastAsia="Arial" w:hAnsi="Arial"/>
          <w:sz w:val="18"/>
          <w:szCs w:val="18"/>
          <w:color w:val="auto"/>
        </w:rPr>
        <w:t>Reimbursement arrangements, or RAs, include health reimbursement arrangements, or HRAs, and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arrangements, or FSAs. An RA may be administered by any third-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party administration, or TPA, firm. Most HSA custodians are not TPAs, and most TPAs are not HSA custodians. We are among only a few firms that are able to administer HSAs and RAs on the same technology platform.</w:t>
      </w:r>
    </w:p>
    <w:p>
      <w:pPr>
        <w:spacing w:after="0" w:line="8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RAs are employer sponsored accounts that employees can use to reimburse qualified medical or dependent care expenses. Before payment can be made, expenses must be substantiated using electronic claims from a health plan, data gleaned from operation of our payment card where permitted, or submission of receipts or other documentation by the employee. Like HSAs, amounts allocated to RAs and reimbursements from RAs may be excluded from employees’ gross income for federal and most state income and employment tax purposes. RAs are not portable, however; any value remaining upon termination of employment is forfeited (subject to COBRA). In addition, FSAs are subject to “use or lose” restrictions that limit to $500 the amount that may be rolled over from year to year. As of January 31, 2018, we had approximately 559,000 RAs on our platform.</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HealthEquity retirement. </w:t>
      </w:r>
      <w:r>
        <w:rPr>
          <w:rFonts w:ascii="Arial" w:cs="Arial" w:eastAsia="Arial" w:hAnsi="Arial"/>
          <w:sz w:val="18"/>
          <w:szCs w:val="18"/>
          <w:color w:val="auto"/>
        </w:rPr>
        <w:t>Through our subsidiary HealthEquity Retirement Services, LLC, we offer ERISA plan administration and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(with partnered advisors and record keepers) that can help reduce the cost, risk, and work of managing a 401(k) or similar retirement plan. In addition to these plan services, we are able to connect third party retirement solutions to our HSA platform, allowing users to manage their HSA and 401(k) balances from a single convenient dashboard, with a common set of investment options to enhance financial literacy and help optimize health and wealth savings.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proprietary technology is deployed as a cloud-based solution that is accessible to customers through the web and mobile devices. We utilize a multi-tenant architecture that allows changes made for one Network Partner to be extended to all others. This architecture provides operating leverage by reducing costs and improving efficiencies, enabling us to maximize the utilization of our infrastructure capacity with a reduction in required maintenance. We are continually improving and devoting resources to our technology. During the years ended January 31, 2018, 2017, and 2016, we capitalized software development costs of $8.1 million, $7.7 million and $5.6 million, respectively. In addition, we incurred $12.2 million, $ 10.0 million and $7.6 million, respectively, in software development costs primarily related to the post-implementation and operation stages of our proprietary software.</w:t>
      </w:r>
    </w:p>
    <w:p>
      <w:pPr>
        <w:spacing w:after="0" w:line="9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solution is hosted on a virtual private cloud with an ability to scale on demand. This allows us to quickly support our current and projected growth. We utilize two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Due to the sensitive nature of our customers’ data, we have a heightened focus on data security and protection. We have implemented industry-standard processes, policies and tools through all levels of our software development and network administration, reducing the risk of vulnerabilities in our system.</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view our competition in terms of direct and indirect competitors. Our direct competitors are HSA custodians that include state or federally chartered banks, insurance companies and non-bank trustees approved by the IRS as meeting certain ownership, capitalization, expertise and governance requirements. Our indirect competitors are benefits administration and payment technology and service providers that work with other HSA custodians to market to health plans and/or employers.</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the primary competitive factors in the market for technology platforms that empower healthcare consumers are: integration with the broader healthcare system; level of consumer education and support; breadth of product offering; flexibility of technology to meet partner requirements; brand strength and reputation; and price. We believe that many of our large financial competitors may view their HSA businesses as non-core and have historically under-invested in developing these businesses. Many of our competitors have not incorporated personal health information into their offerings, as this would require significant upfront investment in technology, training, and segregation of business operations from other bank or custodial operations, as well as integration with data sources such as health plans and pharmacy benefits managers. We believe competitors within the technology, payments or benefits administration service provider sector are limited from expanding their presence in this area due to regulatory requirements for capital adequacy and demonstrated expertise in custodial operations. However, we experience significant competition from banks, insurance companies, and other financial institutions that have greater resources than us, and the intensity of competition may increase over time.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30"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platform is aligned with a healthcare environment that rewards consumer engagement and fosters an integrated consumer experience.</w:t>
      </w:r>
    </w:p>
    <w:p>
      <w:pPr>
        <w:spacing w:after="0" w:line="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Leadership and first-mover advantage. </w:t>
      </w:r>
      <w:r>
        <w:rPr>
          <w:rFonts w:ascii="Arial" w:cs="Arial" w:eastAsia="Arial" w:hAnsi="Arial"/>
          <w:sz w:val="18"/>
          <w:szCs w:val="18"/>
          <w:color w:val="auto"/>
        </w:rPr>
        <w:t>We have established a defensible leadership position in the HSA industry through our first-mover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focus on innovation and differentiated capabilities. Our leadership position is evidenced by the tripling of our market share (measured by custodial assets), from 4% in December 2010 to 13% in December 2017, as noted by the 2017 Devenir HSA Research Report, which indicates we are the third largest HSA custodian by market share.</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 in a number of ways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frequencies. For example, our members utilize our platform to evaluate and pay healthcare bills through the member portal, which allows members to pay their healthcare providers, receive reimbursements and learn of savings opportunities for prescription drugs. Members also utilize the platform’s mobile app to view and pay claims on-the-go, including uploading medical and insurance documentation to the platform with their mobile phone cameras. During the year ended January 31, 2018, our platform experienced 36.3 million logons and, on average, every month 22% of our members signed into our platform.</w:t>
      </w:r>
    </w:p>
    <w:p>
      <w:pPr>
        <w:spacing w:after="0" w:line="7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Proprietary and integrated technology platform. </w:t>
      </w:r>
      <w:r>
        <w:rPr>
          <w:rFonts w:ascii="Arial" w:cs="Arial" w:eastAsia="Arial" w:hAnsi="Arial"/>
          <w:sz w:val="18"/>
          <w:szCs w:val="18"/>
          <w:color w:val="auto"/>
        </w:rPr>
        <w:t>We have a proprietary cloud-based technology platform,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which we believe is highly differentiated in the marketplace for a number of key reasons:</w:t>
      </w:r>
    </w:p>
    <w:p>
      <w:pPr>
        <w:spacing w:after="0" w:line="49" w:lineRule="exact"/>
        <w:rPr>
          <w:sz w:val="20"/>
          <w:szCs w:val="20"/>
          <w:color w:val="auto"/>
        </w:rPr>
      </w:pPr>
    </w:p>
    <w:p>
      <w:pPr>
        <w:ind w:left="660" w:right="32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platform was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it provides greater functionality and flexibility than the technologies used by our competitors, many of which were originally developed for banking, benefits administration or retirement services. We believe we are one of few providers with a platform that encompasses all of the core functionality of healthcare saving and spending in a single secure and compliant system,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HSA trust administration, online investment advice and sophisticated analytics.</w:t>
      </w:r>
    </w:p>
    <w:p>
      <w:pPr>
        <w:spacing w:after="0" w:line="77" w:lineRule="exact"/>
        <w:rPr>
          <w:rFonts w:ascii="Arial" w:cs="Arial" w:eastAsia="Arial" w:hAnsi="Arial"/>
          <w:sz w:val="18"/>
          <w:szCs w:val="18"/>
          <w:i w:val="1"/>
          <w:iCs w:val="1"/>
          <w:color w:val="auto"/>
        </w:rPr>
      </w:pPr>
    </w:p>
    <w:p>
      <w:pPr>
        <w:ind w:left="660" w:right="140" w:hanging="328"/>
        <w:spacing w:after="0" w:line="258"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platform allows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2,680 distinct integrations with health plans, pharmacy benefit managers, employers and other benefits provider systems. Many of our partners’ systems rely on custom data models, non-standard formats, complex business rules and security protocols that are difficult or expensive to change.</w:t>
      </w:r>
    </w:p>
    <w:p>
      <w:pPr>
        <w:spacing w:after="0" w:line="75" w:lineRule="exact"/>
        <w:rPr>
          <w:rFonts w:ascii="Arial" w:cs="Arial" w:eastAsia="Arial" w:hAnsi="Arial"/>
          <w:sz w:val="18"/>
          <w:szCs w:val="18"/>
          <w:i w:val="1"/>
          <w:iCs w:val="1"/>
          <w:color w:val="auto"/>
        </w:rPr>
      </w:pPr>
    </w:p>
    <w:p>
      <w:pPr>
        <w:ind w:left="660" w:right="40" w:hanging="328"/>
        <w:spacing w:after="0" w:line="258"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Configurability: </w:t>
      </w:r>
      <w:r>
        <w:rPr>
          <w:rFonts w:ascii="Arial" w:cs="Arial" w:eastAsia="Arial" w:hAnsi="Arial"/>
          <w:sz w:val="18"/>
          <w:szCs w:val="18"/>
          <w:color w:val="auto"/>
        </w:rPr>
        <w:t>Our flexible technology platform enables us to create a unique solution for each of our Network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HealthEquity team member can readily configure more than 250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 We currently have more than 1,500 unique partner configurations of our offerings in use.</w:t>
      </w:r>
    </w:p>
    <w:p>
      <w:pPr>
        <w:spacing w:after="0" w:line="7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solutions and support services to deliver a differentiated consumer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a function of our culture and technology. We believe this provides a significant competitive advantage relative to legacy competitors whom we believe prioritize transaction processing and benefits administration.</w:t>
      </w:r>
    </w:p>
    <w:p>
      <w:pPr>
        <w:spacing w:after="0" w:line="64" w:lineRule="exact"/>
        <w:rPr>
          <w:sz w:val="20"/>
          <w:szCs w:val="20"/>
          <w:color w:val="auto"/>
        </w:rPr>
      </w:pPr>
    </w:p>
    <w:p>
      <w:pPr>
        <w:ind w:left="660" w:hanging="328"/>
        <w:spacing w:after="0" w:line="266"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“DEEP Purple,” which we define as driving excellence, ethics, and process while providing remarkable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Our DEEP Purple culture is a significant factor in our ability to attract and retain customers and to address nimbly opportunities in the rapidly changing healthcare sector.</w:t>
      </w:r>
    </w:p>
    <w:p>
      <w:pPr>
        <w:spacing w:after="0" w:line="68" w:lineRule="exact"/>
        <w:rPr>
          <w:rFonts w:ascii="Arial" w:cs="Arial" w:eastAsia="Arial" w:hAnsi="Arial"/>
          <w:sz w:val="18"/>
          <w:szCs w:val="18"/>
          <w:i w:val="1"/>
          <w:iCs w:val="1"/>
          <w:color w:val="auto"/>
        </w:rPr>
      </w:pPr>
    </w:p>
    <w:p>
      <w:pPr>
        <w:ind w:left="660" w:right="200" w:hanging="328"/>
        <w:spacing w:after="0" w:line="261"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DEEP Purple. We tailor the content of our platform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of our experts to be timely, personal and relevant to each member. For example, our technology generates health savings strategies that are delivered to our members when they interact with our platform or call us. We employ individuals, which we refer to as Member Education Specialists, who provide real-time assistance to our members via telephone.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believe our DEEP Purple culture drives our success. Our commitment to DEEP Purple has been rewarded with consumer loyalty scores that far exceed those of most banks and traditional health insurers.</w:t>
      </w:r>
    </w:p>
    <w:p>
      <w:pPr>
        <w:spacing w:after="0" w:line="6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 provides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growing consumer market. Our platform is built on a business-to-business-to-consumer, or B2B2C, channel strategy, whereby we rely on our Network Partners to reach consumers instead of marketing our services to these potential members directly. Reaching the consumer is critical in order for us to increase the number of our HSA Members.</w:t>
      </w:r>
    </w:p>
    <w:p>
      <w:pPr>
        <w:spacing w:after="0" w:line="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work directly with our Network Partners to reach the consumer in various ways. Our Health Plan and Administrator Partners collectively employ thousands of sales representatives and account managers who promote both the Health Plan and Administrators Partner’s health insurance products, such as HDHPs, and our HSAs. Our Employer Partners collectively employ thousands of human resources professionals who are tasked with explaining the benefits of our HSAs to their employees. Our sales and account management teams work with and train the sales representatives and account management teams and the human resource professionals of our Network Partners on the benefits of enrolling in, contributing to, and saving and spending through our HSAs, and our Network Partners then convey these benefits to prospective members. As a result of this collaboration, we develop relationships with each member who enrolls in an HSA with us. This constitutes our B2B2C channel strategy.</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technology is scalable because our products and services are accessed primarily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platform, which is cloud based. After initial on-boarding and a period of education, our service costs for any given customer typically decline over time. Our opportunity to earn high-margin revenue from existing HSA Members grows over time because our HSA Members’ balances typically grow, increasing custodial revenue without significant incremental cost to us.</w:t>
      </w:r>
    </w:p>
    <w:p>
      <w:pPr>
        <w:spacing w:after="0" w:line="15" w:lineRule="exact"/>
        <w:rPr>
          <w:sz w:val="20"/>
          <w:szCs w:val="20"/>
          <w:color w:val="auto"/>
        </w:rPr>
      </w:pPr>
    </w:p>
    <w:p>
      <w:pPr>
        <w:ind w:left="60" w:right="20"/>
        <w:spacing w:after="0" w:line="259"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consistent over time. Retention rates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2018, 2017 and 2016 were 97.6%, 95.5% and 97.4%, respectively. Individually owned trust accounts, including HSAs, have inherently high switching costs, as switching requires a certain amount of effort on the part of the account holder and may result in closure fees. We believe that our retention rates are also high due to our technology platform’s integration with the broader healthcare system used by our HSA members and our focus on the consumer experience.</w:t>
      </w:r>
    </w:p>
    <w:p>
      <w:pPr>
        <w:spacing w:after="0" w:line="7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a successful history of acquiring HSA portfolios and businesses that strengthen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We expect to continue this growth strategy and regularly evaluate opportunities. During the year ended January 31, 2018, we acquired two HSA portfolios. We have developed an internal capability to source, evaluate and integrate acquisitions that have created value for shareholders.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applicable IRS regulations, which lay the foundation for tax savings and eligible expenses under the HSAs, HRAs and FSAs we administer. The IRS issues guidance regarding these regulations regularly. In addition, we are subject to conflict of interest and other prohibited transaction rules that are enforced through excise taxes under the Internal Revenue Code. Although the excise taxes are enforced by the IRS, the underlying rules are promulgated by the Department of Labor.</w:t>
      </w:r>
    </w:p>
    <w:p>
      <w:pPr>
        <w:spacing w:after="0" w:line="9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In February 2006, HealthEquity, Inc. received designation by the U.S. Department of Treasury to act as a passive non-bank custodian, which allows HealthEquity, Inc. to hold custodial assets for individual account holders. In July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the Company must maintain net worth (assets minus liabilities) greater than 2% of passive custodial funds held at each calendar year-end and 4% of the non-passive custodial funds held at each calendar year-end in order to take on additional custodial assets. As of December 31, 2017, the Company's year-end for trust and tax purposes, the net worth of the Company exceeded the required thresholds.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0"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regulations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provision of HSA custodial services and directed TPA services for RAs, we are subject to the Financial Services Modernization Act of 1999 (Gramm-Leach-Bliley Act or GLBA), the Health Insurance Portability and Accountability Act of 1996 (HIPAA, as amended by the Health Information Technology for Economic and Clinical Health Act), and similar state laws.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GLBA imposes financial privacy and security requirements on financial institutions that relate to the collection, storage, use, and disclosure of an account holder’s nonpublic personal information. Nonpublic personal information includes information that is collected or generated in the course of offering a financial product or service. For example, nonpublic personal information includes information submitted by a prospective account holder in an application, an account holder’s name and contact information, and transaction information. Because part of our business is the administration of financial products such as HSAs, we are required under the Consumer Financial Protection Bureau’s financial privacy rule under GLBA to send a notice of privacy practices to account holders and to comply with restrictions on the disclosure of nonpublic personal information to non-affiliated third parties. We are also required under GLBA to establish reasonable administrative, technical, and physical safeguards to protect the security, confidentiality, and integrity of nonpublic personal information pursuant to the Federal Trade Commission’s safeguards rule. Violations of GLBA can result in civil and criminal penalties.</w:t>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HIPAA covered entities and their business associates are required to adhere to HIPAA privacy and security standards. Covered entities include most healthcare providers, health plans, and healthcare clearinghouses. Because we perform services (such as RA services) for covered entities that include processing protected health information, we are a business associate and subject to HIPAA. The two rules that most significantly affect our business are: (i) the Standards for Privacy of Individually Identifiable Health Information, or the Privacy Rule; and (ii) the Security Standards for the Protection of Electronic Protected Health Information, or the Security Rule. The Privacy Rule restricts the use and disclosure of protected health information, and requires us to safeguard that information and provide certain rights to individuals with respect to that information. The Security Rule establishes requirements for safeguarding protected health information transmitted or stored electronically. Both civil and criminal penalties apply for violating HIPAA, which may be enforced by both the Department of Health and Human Services’ Office for Civil Rights and state attorneys general. Violations of HIPAA may also subject us to contractual remedies under the terms of agreements with covered entities.</w:t>
      </w:r>
    </w:p>
    <w:p>
      <w:pPr>
        <w:spacing w:after="0" w:line="104"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States also have laws and regulations that impose additional restrictions on our collection, storage, and use of personally identifiable information, and we strive to adhere to all such applicable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private-sector clients’ FSAs, HRAs, and 401(k) and other account-based retirement plans are covered by the Employee Retirement Income Security Act of 1974, as amended, or ERISA, which governs “employee benefits plans.” Title I of ERISA does not generally apply to HSAs. ERISA generally imposes extensive reporting requirements on employers, as well as an obligation to provide various disclosures to covered employees and beneficiaries; and employers and third-party administrators that have authority or discretion over management, administration, or investment of plan assets are subject to fiduciary responsibility under ERISA. ERISA's requirements affect our RA and 401(k) businesses, including HealthEquity Retirement Services, LLC. The Department of Labor can bring enforcement actions or assess penalties against employers, investment advisers, administrators, and other service providers for failing to comply with ERISA’s requirements. Participants and beneficiaries may also file lawsuits against employers, investment advisers, administrators, and other service providers under ERISA.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Department of Labor, or the DOL, regulates plans that are subject to ERISA, including health FSAs, HRAs, and 401(k) and other retirement plans. The DOL also issues guidance related to fiduciary responsibility and prohibited transactions under ERISA and the Internal Revenue Code that affect administration of HSAs (as well as health FSAs, HRAs, and retirement plans).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DOL issues regulations, technical releases and other guidance that apply to employee benefit plans and tax-favored savings arrangements (including HSAs) generally. In addition, in response to a request by an individual or an organization, the DOL’s Employee Benefits Security Administration may issue an advisory opinion that interprets and applies ERISA and/or corresponding prohibited transaction rules under the Internal Revenue Code to a specific situation, including issues related to consumer-centric healthcare accounts and retirement plans.</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April 2016, the DOL issued a new regulation that expanded the types of conduct and communication that are treated as fiduciary investment advice, resulting in increased responsibility for service providers to retirement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and HSAs. The rule became effective in June 2017, subject to a transition period and delayed applicability of certain elements of the rule until July 1, 2019. The DOL is currently studying the regulation’s impacts and considering whether to make changes. We have updated certain procedures to comply with the rule. However, in March 2018, the rule was vacated by the Fifth Circuit Court of Appeals, and accordingly its future is uncertain.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March 2010, the federal government enacted significant reforms to healthcare benefits through the Affordable Care Act. The legislation amended various provisions in many federal laws, including the Internal Revenue Code and ERISA. The reforms included new excise taxes that incentivize employers to provide health benefits (including HSA-compatible benefits) to all full-time employees and new coverage mandates for health plans. The new rules directly affect health FSAs and HRAs and have an indirect effect on HSAs. Further changes to the Affordable Care Act and related healthcare regulation remain under consideration.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3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subsidiary HealthEquity Advisors, LLC is an SEC-registered investment adviser that provides web-only automated investment advisory services to members. As an SEC-registered adviser, it must comply with 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Intellectual property is important to our success. We have registered our trademark “HealthEquity” with the U.S. Patent and Trademark Office and maintain trademark rights to the mark “Building Health Savings.”</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also rely on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sole geographic market is the 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refer to our employees as our team members. As of January 31, 2018, we had 1,027 team members, including 717 in service delivery, 143 in technology and development and 167 in sales, general and administrative. We consider our relationship with our team members to be good. None of our team members are represented by a labor union or party to a collective bargaining agreement.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3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HealthEquity, Inc. was incorporated as a Delaware corporation on September 18, 2002. Our principal business office is located at 15 W. Scenic Pointe Dr., Ste. 100, Draper, Utah 84020. Our website address is www.healthequity.com. We do not incorporate the information contained on, or accessible through, our corporate website into this Annual Report on Form 10-K, and you should not consider it to be part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3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website is located at www.healthequity.com, and our investor relations website is located at ir.healthequity.com. Copies of our Annual Reports on Form 10-K, Quarterly Reports on Form 10-Q, Current Reports on Form 8-K, and any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 The SEC also</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maintains a website that contains our SEC filings. The address of the site is www.sec.gov. Further, a copy of this Annual Report on Form 10-K is located at the SEC's Public Reference Room at 100F Street, NE, Washington, D.C. 20549. Information on the operation of the Public Reference Room can be obtained by calling the SEC at 1-800-SEC-0330.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our common stock could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services that empower healthcare consumers is relatively immature and unproven. If we are not successful in promoting and improving the benefits of our platform, our growth may be limited and our business may be adversely affected.</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market for our products and services is subject to rapid and significant change and competition. The market for technology-enabled services that empower healthcare consumers is characterized by rapid technological change, new product and service introductions, evolving industry standards, changing customer needs, existing competition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services that empower healthcare consumers is relatively new and unproven, and it is uncertain whether this market will achieve and sustain high levels of demand and market adoption. In order to remain competitive, we are continually involved in a number of projects to develop new services or compete with these new market entrants. These projects carry risks, such as cost overruns, delays in delivery, performance problems and lack of acceptance by our customers.</w:t>
      </w:r>
    </w:p>
    <w:p>
      <w:pPr>
        <w:spacing w:after="0" w:line="1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success depends to a substantial extent on the willingness of consumers to increase their use of technology platforms to manage their healthcare saving and spending, the ability of our platform to increase consumer engagement, and our ability to demonstrate the value of our platform to our existing customers and potential customers. If our existing customers do not recognize or acknowledge the benefits of our platform or our platform does not drive consumer engagement, then the market for our products and services might develop more slowly than we expect, which could adversely affect our operating results. In addition, we have limited insight into trends that might develop and affect our business.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earn from our products and services.</w:t>
      </w:r>
    </w:p>
    <w:p>
      <w:pPr>
        <w:spacing w:after="0" w:line="7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Our business is dependent upon the availability of tax-advantaged health accounts to consumers and employers. Any diminution in, elimination of, or change in the availability or use of these accounts would materially adversely affect our results of operations, financial condition, business and prospects.</w:t>
      </w:r>
    </w:p>
    <w:p>
      <w:pPr>
        <w:spacing w:after="0" w:line="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Substantially all of our revenue is earned from transactions involving tax-advantaged health accounts, such as HSAs, HRAs and FSAs. Based on our experience with our customers, we believe that many consumers are not familiar with, or do not fully appreciate, the tax-advantaged benefits of HSAs and other similar tax-advantaged healthcare savings arrangements. If employers reduce or cease to offer HSA, HRA or FSA programs, the tax benefits for these accounts are reduced, or consumer adoption of these accounts decreases, our results of operations, financial condition, business and prospects would be materially adversely affected.</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0"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 which could have a material adverse effect on our results of operations, financial condition, business and prospects.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market for our products and services is highly competitive, rapidly evolving and fragmented. We view our competition in terms of direct and indirect competitors. Our direct competitors are HSA custodians that include state or federally chartered banks, such as Webster Bank and Optum Bank, and non-bank custodians approved by the U.S. Treasury as meeting certain ownership, capitalization, expertise and governance requirements, such as Payflex Systems USA, Inc. This market is highly fragmented. We also have numerous indirect competitors, including benefits administration technology and service providers that work with other HSA custodians to sell into health plans and/or employer channels. Increased focus on HSA-favorable healthcare regulatory reforms may create renewed interest and investment by our competitors in their HSA offerings and lead to greater competition, which could make it harder for us to maintain our growth trajectory. Our competitors may also offer reduced fee or no-fee HSAs, which may permit them to increase market share in our market and lead to customer and Network Partner attrition, or cause us to reduce our fees; and this risk could be compounded if legal requirements or administrative rules are interpreted in a way that makes compliance more onerous for us than for our competitors. Furthermore, if one or more of our competitors were to merge or partner with another of our competitors, the change in the competitive landscape could materially adversely affect our ability to compete effectively. Our competitors may also establish or strengthen cooperative relationships with our current or future Network Partners or other strategic partners, thereby limiting our ability to promote our solution with these parties. Our Health Plan and Administrator Partners may also decide to offer HSAs directly, which would significantly reduce our channel partner opportunities.</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of our competitors, in particular banks, insurance companies, and other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may be more attractive to potential customers, and they may also use advertising and marketing strategies that (including loss-leaders) achieve broader brand recognition or acceptance.</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well-known retail mutual fund companies, such as Vanguard, who currently do not have a strong presence or have somewhat limited products in the market for technology-enabled services that empower healthcare consumers may in the future decide to expand their products or attempt to grow their presence in the market. These investment companies have significant advantages over us in terms of brand name recognition, years of experience managing tax-advantaged retirement accounts (</w:t>
      </w:r>
      <w:r>
        <w:rPr>
          <w:rFonts w:ascii="Arial" w:cs="Arial" w:eastAsia="Arial" w:hAnsi="Arial"/>
          <w:sz w:val="18"/>
          <w:szCs w:val="18"/>
          <w:i w:val="1"/>
          <w:iCs w:val="1"/>
          <w:color w:val="auto"/>
        </w:rPr>
        <w:t>e.g.</w:t>
      </w:r>
      <w:r>
        <w:rPr>
          <w:rFonts w:ascii="Arial" w:cs="Arial" w:eastAsia="Arial" w:hAnsi="Arial"/>
          <w:sz w:val="18"/>
          <w:szCs w:val="18"/>
          <w:color w:val="auto"/>
        </w:rPr>
        <w:t>, 401(k) and IRA), highly developed recordkeeping, trust functions, and fund advisory and customer relations management, among others. If we are unable to compete effectively with new competitors, our results of operations, financial condition, business and prospects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rapidly changing healthcare industry could adversely affect our business.</w:t>
      </w:r>
    </w:p>
    <w:p>
      <w:pPr>
        <w:spacing w:after="0" w:line="13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94" w:lineRule="exact"/>
        <w:rPr>
          <w:sz w:val="20"/>
          <w:szCs w:val="20"/>
          <w:color w:val="auto"/>
        </w:rPr>
      </w:pPr>
    </w:p>
    <w:p>
      <w:pPr>
        <w:ind w:left="660" w:right="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industry participants interact with consumers and the general public;</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general business or economic conditions affecting healthcare industry participants.</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If our members do not continue to utilize our payment cards, our results of operations, business and prospects would be materially adversely affected.</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derived 22%, 23% and 22% of our total revenue during the years ended January 31, 2018, 2017 and 2016, respectively, from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technological and intellectual property risks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data is otherwise obtained, our platform may be perceived as not being secure, our customers may reduce the use of, or stop using, our products and services, we may incur significant liabilities, our reputation may be harmed and we could lose sales and customers.</w:t>
      </w:r>
    </w:p>
    <w:p>
      <w:pPr>
        <w:spacing w:after="0" w:line="82"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Our proprietary technology platform enables the exchange of, and access to, sensitive information, and security breaches could result in the loss of this sensitive information, theft or loss of actual funds, litigation, indemnity obligations to our customers, fines and other liabilities, including under laws that protect the privacy of personal information, disrupt our operations and the services we provide to our members and Network Partners, damage our reputation and cause a loss of confidence in our products and services. While we have security measures in place, we have experienced limited data privacy incidents in the past. If in the future our security measures are breached or unauthorized access to data is otherwise obtained as a result of third-party action, employee error or otherwise, our reputation could be significantly damaged, our business may suffer and we could incur substantial liability which could result in loss of sales and customers. If third parties improperly obtain and use the personal information of our customers, we may be required to expend significant resources to resolve these problems. A major breach of our network security and systems could have serious negative consequences for our businesses, including:</w:t>
      </w:r>
    </w:p>
    <w:p>
      <w:pPr>
        <w:spacing w:after="0" w:line="10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fines, penalties and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unwillingness of consumers and other data owners to provide us with their payment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unwillingness of customers and other data owners to provide us with personal information;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to our reputation and brand.</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generally are not identified until they are launched against a target, we may be unable to anticipate these techniques or to implement adequate preventative measures. Any or all of these issues could negatively impact our ability to attract new customers and increase engagement by existing customers, and/or subject us to third-party lawsuits, regulatory fines, contractual liability and/or other action or liability, thereby harming our operating results.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to protect against security breaches. We may incur significant additional costs in the future to address problems caused by any actual or perceived security breaches. Cybersecurity breaches could compromise our data and the data of our customers and partners, which may expose us to liability and would likely cause our business and reputation to suffer.</w:t>
      </w:r>
    </w:p>
    <w:p>
      <w:pPr>
        <w:spacing w:after="0" w:line="9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ability to ensure the security of our online platform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may be vulnerable to cybersecurity threats, including attacks by hackers and other malfeasance. Any such security breach could compromise our networks and result in the information stored or transmitted there to be accessed, publicly disclosed, lost or stolen. Any such access, disclosure or other loss of 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including our payment cards, could lead to reputational damage to us and reduce the use and acceptance of our platform.</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Criminals are using increasingly sophisticated methods to capture personal information in order to engage in illegal activities such as counterfeiting and identity theft. We rely upon third parties for some transaction processing services, data feeds, and vendors, which subjects us to risks related to the vulnerabilities of those third parties. For example, we are exposed to risks relating to the theft of payment card numbers housed in a merchant's point of sale systems if our members use our payment cards at a merchant whose systems are compromised. We may make our customers whole for losses sustained when using our payment cards, even in instances where we are not directly responsible for the underlying cause of such loss. A single significant incident of fraud, or increases in the overall level of fraud, involving our payment cards, our custodial accounts or our reimbursement administration services, could result in financial and reputational damage to us, which could reduce the use and acceptance of our products and services, or cause our customers to cease doing business with us.</w:t>
      </w:r>
    </w:p>
    <w:p>
      <w:pPr>
        <w:spacing w:after="0" w:line="7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online platform that could lead to lost customers or harm to our reputation.</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rely on certain cloud-based software licensed from third parties to run our business.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is identified, obtained and integrated, which could harm our business. In addition, we have certain service level agreements with certain of our employer clients for which the availability of this software is critical. Any decrease in the availability of our service as a result of errors, defects, a disruption or failure of our licensed 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7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technology platform may be more difficult than expected, may take longer and cost more than expected, or may result in the platform not operating as expected, which may harm our operating results or may not result in sufficient increases in revenue to justify the costs.</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Attracting and retaining new customers requires us to continue to improve the technology underlying our proprietary technology platform and requires our technology to operate as expected. Accordingly, we must continue to develop new and updated applications, features and services, and maintain existing applications, features and services. If we are unable to do so on a timely basis or if we are unable to implement new applications, features and services that enhance our customers’ experience without disruption to our existing ones or if we encounter technical obstacles that result in the technology not operating properly, we may lose potential and existing customers. We rely on a combination of internal development, strategic relationships, licensing and acquisitions to develop our content offerings and healthcare saving and spending services. These efforts may:</w:t>
      </w:r>
    </w:p>
    <w:p>
      <w:pPr>
        <w:spacing w:after="0" w:line="9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significant cost to address or resolve technical defects or obstacles;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revenue opportunities earned from these efforts may fail to justify the amounts spent. In addition, material performance problems, defects or errors in our existing or new software may occur in the future, which may harm our operating results.</w:t>
      </w:r>
    </w:p>
    <w:p>
      <w:pPr>
        <w:spacing w:after="0" w:line="17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online platform is hosted from two data centers. Any disruption of service at our facilities or our third-party hosting providers could interrupt or delay our customers’ access to our products and services, which could harm our operating results.</w:t>
      </w:r>
    </w:p>
    <w:p>
      <w:pPr>
        <w:spacing w:after="0" w:line="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ability of our team members, members, Health Plan and Administrator Partners and Employer Partners to access our technology platform is critical to our business. We currently serve our customers from data centers located in Draper, Utah, with a backup site in Austin, Texas. We cannot ensure that the measures we have taken will be effective to prevent or minimize interruptions to our operations. Our facilities are vulnerable to interruption 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damage from a number of sources, many of which are beyond our control, including, without limitation:</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 media, separate test systems and change management and system security measures, but our precautions may not protect against all potential problems. Our data recovery center is equipped with physical space, power, storage and networking infrastructure and Internet connectivity to support our online platform in the event of the interruption of services at our primary data center. Even with this data recovery center, however, our operations would be interrupted during the transition process should our primary data center experience a failure. Disruptions at our data centers could cause disruptions to our online platform and data loss or corruption. We have experienced interruptions and delays in service and availability for data centers, and bandwidth and other technology issues in the past. Any future errors, failure, interruptions or delays experienced in connection with these third-party technologies could delay our customers’ access to our products, which would harm our business. This could damage our reputation, subject us to potential liability or costs related to defending against claims or cause our customers and strategic partners to cease doing business with us, any of which could negatively impact our revenue.</w:t>
      </w:r>
    </w:p>
    <w:p>
      <w:pPr>
        <w:spacing w:after="0" w:line="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 which could cause us to lose customers and harm our operating results.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reduce our revenue and profits, and our reputation could be damaged if people believe our systems are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unscheduled interruption in our service would result in an immediate loss of revenue. Frequent or persistent system failures that result in the unavailability of our platform or slower response times could reduce our customers’ ability to access our platform, impair our delivery of our products and services and harm the perception of our platform as reliable, trustworthy and consistent. Our insurance policies provide only limited coverage for service interruptions and may not adequately compensate us for any losses that may occur due to any failures or interruptions in our systems.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must adequately protect our brand and the intellectual property rights related to our products and services and avoid infringing on the proprietary rights of others.</w:t>
      </w:r>
    </w:p>
    <w:p>
      <w:pPr>
        <w:spacing w:after="0" w:line="6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the HealthEquity brand is critical to the success of our business, and we utilize trademark registration and other means to protect it. Our business would be harmed if we were unable to protect our brand against infringement and its value was to decrease as a result.</w:t>
      </w:r>
    </w:p>
    <w:p>
      <w:pPr>
        <w:spacing w:after="0" w:line="8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such as our applications and the content on our website. We also rely on intellectual property licensed from third parties.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As a result of any such dispute, we may have to:</w:t>
      </w:r>
    </w:p>
    <w:p>
      <w:pPr>
        <w:spacing w:after="0" w:line="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40"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we have largely relied, and expect to continue to rely, on copyright, trade secret and trademark laws, as well as generally relying on confidentiality procedures and agreements with our team members,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particularly in foreign jurisdictions where some of our intellectual property rights may not be protected by intellectual property laws.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 do not protect proprietary rights to the same extent. Accordingly, defense of our trademarks and proprietary technology may become an increasingly important issue as we continue to expand our operations.</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Policing unauthorized use of our trademarks and technology is difficult and the steps we take may not prevent misappropriation of the trademarks or technology on which we rely. If competitors are able to use our trademarks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w:t>
      </w:r>
    </w:p>
    <w:p>
      <w:pPr>
        <w:spacing w:after="0" w:line="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further brand awareness cost-effectively, our business may suffer.</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believe that developing and maintaining awareness of our brand in a cost-effective manner is critical to achieving widespread acceptance of our products and services and attracting new customers and strategic partners.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a sufficient number of customers and strategic partners necessary to realize a sufficient return on our brand-building efforts, or to achieve the widespread brand awareness that is critical for broad customer adoption of our products and services.</w:t>
      </w:r>
    </w:p>
    <w:p>
      <w:pPr>
        <w:spacing w:after="0" w:line="7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Confidentiality arrangements with team members and others may not adequately prevent disclosure of trade secrets and other proprietary information.</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team members, independent contractors, advisers and customers.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protect our domain name, our ability to successfully promote our brand will be impaired.</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currently own the web domain name www.healthequity.com, which is critical to the operation of our business. The acquisition and maintenance of domain names, or Internet addresses, is generally regulated by governmental agencies and their designees. The regulation of domain names in the U.S. is subject to change. Governing bodies may establish additional top-level domains, appoint additional domain name registrars or modify the requirements for holding domain names. Furthermore, it is unclear whether laws protecting trademarks and similar proprietary rights will be extended to protect domain names. Therefore, we may be unable to prevent third parties from</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acquiring domain names that are similar to, infringe upon or otherwise decrease the value of our trademarks and other proprietary rights. We may not be able to successfully implement our business strategy of establishing a strong brand for HealthEquity if we cannot prevent others from using similar domain names or trademarks. This failure could impair our ability to increase our market share and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7"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b w:val="1"/>
          <w:bCs w:val="1"/>
          <w:i w:val="1"/>
          <w:iCs w:val="1"/>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For example, the Affordable Care Act, which includes a variety of healthcare reform provisions and requirements that may become effective at varying times through 2022, substantially changes the way healthcare is financed by both governmental and private insurers, and may significantly impact our industry. Further changes to the Afforable Care Act and related healthcare regulation remain under consideration. The full impact of recent healthcare reform and other changes in the healthcare industry and in healthcare spending is unknown, and we are unable to predict accurately what effect the Affordable Care Act or other healthcare reform measures that may be adopted in the future will have on our business.</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Changes in applicable federal and state laws relating to the tax benefits available through tax-advantaged healthcare accounts such as HSAs would materially adversely affect our business.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efforts of governmental and third-party payers to raise revenue or contain or reduce the costs of healthcare as well as legislative and regulatory proposals aimed at changing the U.S. healthcare system, which could include restructuring the tax benefits available through HSAs, FSAs, and similar tax-advantaged healthcare accounts, may adversely affect our business, operating results, and financial condition. For example, the federal government or states may seek to raise revenues by enacting tax laws that eliminate the tax deductions available to individuals who contribute to HSAs. Our business is substantially dependent on the tax benefits available through HSAs. We cannot predict if any new healthcare reforms will ultimately become law, or if enacted, what their terms or the regulations promulgated pursuant to such reforms will be. If the laws or regulations are changed to limit or eliminate the tax benefits available through these accounts, such a change would have a material adverse effect on our business.</w:t>
      </w:r>
    </w:p>
    <w:p>
      <w:pPr>
        <w:spacing w:after="0" w:line="76"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We are subject to privacy regulations regarding the access, use and disclosure of personally identifiable information. If we or any of our third-party vendors experience a breach of personally identifiable information, it could result in substantial financial and reputational harm, including possible criminal and civil penalties.</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 and federal laws and regulations govern the collection, dissemination, access and use of personally identifiable information, including HIPAA and HITECH, which govern the treatment of protected health information, and the Gramm-Leach Bliley Act, which governs the treatment of nonpublic personal information. In the provision of services to our customers, we and our third-party vendors may collect, access, use, maintain and transmit personally identifiable information in ways that are subject to many of these laws and regulations. If we or any of our third-party vendors experience a breach of personally identifiable information, it could result in substantial financial and reputational harm, including possible criminal and civil penalties. Additionally, we may be required to report breaches to partners, regulators, state attorney generals, and impacted individuals depending on the severity of the breach, our role, legal requirements and contractual obligations. Although we have implemented measures to comply with privacy laws, rules and regulations, we have experienced limited data privacy issues in recent years. Continued compliance with privacy laws, rules and regulations in a rapidly changing technology environment could result in higher compliance and technology costs for us.</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would adversely affect our revenue and results of operations.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Existing laws and regulations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this rule (although we are subject to a general requirement of reasonable compensation for services rendered). To the extent that our payment cards lose their exempt status, the interchange rates applicable to transactions involving our payment cards could be impacted, which would decrease our revenue and profit and could have a material adverse effect on our financial condition and results of operations.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Our investment advisory, custodial, and retirement services are subject to complex regulation, and any compliance failures or regulatory action could adversely affect our business.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w:t>
      </w:r>
    </w:p>
    <w:p>
      <w:pPr>
        <w:spacing w:after="0" w:line="9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subsidiary HealthEquity Trust Company is a non-depository trust company and subject to regulation and supervision by the Wyoming Division of Banking. Compliance with regulatory requirements may divert internal resources and take significant time and effort. Any claim of non-compliance, regardless of merit or ultimate outcome, could subject us to investigation by the SEC, the Wyoming Division of Banking or other regulatory authorities. This in turn could result in additional claims or class action litigation brought on behalf of our members or Network Partners,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 In addition, all of our business are subject, to varying degrees, to fiduciary and other service provider obligations under ERISA, the Internal Revenue Code, and underlying regulations. A failure to comply could subject us to disgorgement of profits, excise taxes, civil penalties, private lawsuits, and other costs, including reputational harm.</w:t>
      </w:r>
    </w:p>
    <w:p>
      <w:pPr>
        <w:spacing w:after="0" w:line="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 which would have a material adverse impact on our ability to operate our business.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 and service providers</w:t>
      </w:r>
    </w:p>
    <w:p>
      <w:pPr>
        <w:spacing w:after="0" w:line="117" w:lineRule="exact"/>
        <w:rPr>
          <w:sz w:val="20"/>
          <w:szCs w:val="20"/>
          <w:color w:val="auto"/>
        </w:rPr>
      </w:pPr>
    </w:p>
    <w:p>
      <w:pPr>
        <w:jc w:val="both"/>
        <w:ind w:right="540"/>
        <w:spacing w:after="0" w:line="269" w:lineRule="auto"/>
        <w:rPr>
          <w:sz w:val="20"/>
          <w:szCs w:val="20"/>
          <w:color w:val="auto"/>
        </w:rPr>
      </w:pPr>
      <w:r>
        <w:rPr>
          <w:rFonts w:ascii="Arial" w:cs="Arial" w:eastAsia="Arial" w:hAnsi="Arial"/>
          <w:sz w:val="18"/>
          <w:szCs w:val="18"/>
          <w:b w:val="1"/>
          <w:bCs w:val="1"/>
          <w:i w:val="1"/>
          <w:iCs w:val="1"/>
          <w:color w:val="auto"/>
        </w:rPr>
        <w:t>Our distribution model relies on the cooperation of our Network Partners. If our Network Partners choose to partner with other providers of technology-enabled services that empower healthcare consumers, including HSA services, our business could be materially and adversely affected.</w:t>
      </w:r>
    </w:p>
    <w:p>
      <w:pPr>
        <w:spacing w:after="0" w:line="8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business depends on our Network Partners’ willingness to partner with us to offer their customers and/or employees our products and services. In particular, certain of our Health Plan and Administrator Partners enjoy significant market share in various geographic regions. If these Health Plan and Administrator Partners choose to partner with our competitors, our results of operations, business and prospects could be materially adversely affected.</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rely on a single bank identification number sponsor for our payment cards, and a change in relationship with this sponsor or its failure to comply with certain banking regulations could materially and adversely affect our business.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on a single bank identification number, or BIN, sponsor in relation to the payment cards we issue. A BIN sponsor is a bank or credit union that provides the BIN that allows a prepaid card program to run on one of the major card brand networks (</w:t>
      </w:r>
      <w:r>
        <w:rPr>
          <w:rFonts w:ascii="Arial" w:cs="Arial" w:eastAsia="Arial" w:hAnsi="Arial"/>
          <w:sz w:val="18"/>
          <w:szCs w:val="18"/>
          <w:i w:val="1"/>
          <w:iCs w:val="1"/>
          <w:color w:val="auto"/>
        </w:rPr>
        <w:t>e.g.</w:t>
      </w:r>
      <w:r>
        <w:rPr>
          <w:rFonts w:ascii="Arial" w:cs="Arial" w:eastAsia="Arial" w:hAnsi="Arial"/>
          <w:sz w:val="18"/>
          <w:szCs w:val="18"/>
          <w:color w:val="auto"/>
        </w:rPr>
        <w:t>, VISA, MasterCard, Discover or American Express). Our BIN sponsor enables us to link the payment cards that we offer our members to the VISA network, thereby allowing our members to use our payment cards to pay for healthcare-related expenses with a “swipe” of the card. If any material adverse event were to affect our BIN sponsor, including a significant decline in its financial condition, a decline in the quality of its service, its inability to comply with applicable banking and financial service regulatory requirements, systems failure or its inability to pay us fees, our business, financial condition and results of operations could be materially and adversely affected because we may be forced to reduce the availability of, or eliminate entirely, our payment card offering. In addition, we do not have a long-term contract with our BIN sponsor, and it may increase the fees it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charges us or terminate its relationship with us. If we were required to change BIN sponsors, we could not accurately predict the success of such change or that the terms of our agreement with a new BIN sponsor would be as favorable to us, especially in light of the recent increased regulatory scrutiny of the payment card industry, which has rendered the market for BIN sponsor services less competitive.</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rely on our FDIC-insured custodial depository bank partners for certain custodial account services from which we earn fees. A business failure in any FDIC-insured custodial depository bank partner would materially and adversely affect our business.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a non-bank custodian, we rely on our FDIC-insured custodial bank partners to hold and invest our custodial cash assets. If any material adverse event were to affect one of our FDIC-insured custodial depository bank partners, including a significant decline in its financial condition, a decline in the quality of its service, loss of deposits, its inability to comply with applicable banking and financial services regulatory requirements, systems failure or its inability to pay us fees, our business, financial condition and results of operations could be materially and adversely affected. If we were required to change custodial depository banking partners, we could not accurately predict the success of such change or that the terms of our agreement with a new banking partner would be as favorable to us as our current agreements, especially in light of the consolidation in the banking industry, which has rendered the market for FDIC-insured retail banking services less competitive.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fraud management and other customer verification services, transaction processing and settlement, telephony services, and card production.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materially disrupt our operations and our ability to provide our products and services, and could divert management’s time and resources. If we are unable to complete a transition to a new provider on a timely basis, or at all, we could be forced to temporarily or permanently discontinue certain services, which could disrupt services to our customers and adversely affect our business, financial condition and results of operations. We may also be unable to establish comparable new third-party relationships on as favorable terms or at all, which could materially and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growth-related risks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and harm our operating results.</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in the past acquired, and we may in the future acquire or invest in, assets, businesses, products or technologies that we believe could complement or expand our products and services, enhance our technical capabilities or otherwise offer growth opportunities. There is no assurance that we will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9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w:t>
      </w:r>
    </w:p>
    <w:p>
      <w:pPr>
        <w:spacing w:after="0" w:line="9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 which would be recognized as a current period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earn sufficient revenue to offset acquisition or investment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maintain relationships with customers and partners of the acquired business;</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incorporating acquired technology and rights into our platform and of maintaining quality and security standards consistent with our brand;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0"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to our existing business relationships with customers and strategic partners as a result of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time and resources from our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team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coordinate organizations that are geographically diverse and that have different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comply with the regulatory requirements applicable to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recognize acquired revenue in accordance with our revenue recognition policies;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acquisition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 Even if we are successful in completing and integrating an acquisition, the acquisition may not perform as we expect or enhance the value of our business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 to match our business growth.</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and offer new products and services, is dependent on our information technology systems. If we are unable to manage the technology associated with our business effectively, we could experience increased costs, reductions in system availability and customer loss. We are currently investing in significant upgrading of the capacity and performance of our proprietary technology platform and database design to ensure continued performance at scale, to reduce spending on maintenance activities and to enable us to execute technology innovation more quickly. If we are unsuccessful in implementing these upgrades to our platform, we may be unable to adequately meet the needs of our customers and/or implement technology-based innovation in response to a rapidly changing market, which could harm our reputation and adversely impact our business, financial condition and results of operations.</w:t>
      </w:r>
    </w:p>
    <w:p>
      <w:pPr>
        <w:spacing w:after="0" w:line="7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continued rapid expansion and development of our business may place a significant strain upon our management and administrative, operational and financial infrastructure. As of January 31, 2018, we had approximately 3.4 million HSA Members and $6.8 billion in custodial assets representing growth of 24% and 35%, respectively, from January 31, 2017. For the year ended January 31, 2018, our total revenue and Adjusted EBITDA were approximately $229.5 million and $84.7 million, respectively, which represents year-over-year annual growth rates of approximately 29% and 35%, respectively. See “Key financial and operating metrics” for the definition of Adjusted EBITDA and a reconciliation of net income, the most comparable GAAP measure, to Adjusted EBITDA. While to date we believe we have effectively managed the effect on our operations resulting from the rapid growth of our business, our growth strategy contemplates further increasing the number of our HSA Members and our custodial assets at relatively higher growth rates than industry averages. However, the rate at which we have been able to attract new HSA Members in the past may not be indicative of the rate at which we will be able to attract additional HSA Members in the future.</w:t>
      </w:r>
    </w:p>
    <w:p>
      <w:pPr>
        <w:spacing w:after="0" w:line="10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or to achieve further growth at all. If our business does not continue to grow or if we fail to effectively manage any future growth, our business, financial condition and results of operations could be materially and adversely affected.</w:t>
      </w:r>
    </w:p>
    <w:p>
      <w:pPr>
        <w:spacing w:after="0" w:line="6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plan to extend and expand our products and services and introduce new products and services, and we may not accurately estimate the impact of developing, introducing and updating these products and services on our business.</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our platform’s compatibilities.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canceled entirely.</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earn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7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We have recorded a significant amount of intangible assets. We may need to record write-downs from future impairments of identified intangible assets and goodwill, which could adversely affect our costs and business operations.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consolidated balance sheet includes significant intangible assets, including approximately $4.7 million in goodwill and $83.6 million in intangible assets, together representing approximately 24% of our total assets as of January 31, 2018.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service and culture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customers and strategic partners and our operating results.</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In addition, our sales process is highly dependent on the reputation of our products, services and business and on positive recommendations from our existing customers.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 Interruptions or delays that inhibit our ability to meet that standard may hurt our reputation or ability to attract and retain customers.</w:t>
      </w:r>
    </w:p>
    <w:p>
      <w:pPr>
        <w:spacing w:after="0" w:line="8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rely on our management team and key team members and our business could be harmed if we are unable to retain qualified personnel.</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success depends, in part, on the skills, working relationships and continued services of our founder and senior management team and other key personnel. While we have entered into offer letters or employment agreements with certain of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stock options and other equity-based awards that vest over time or based on performance. The value to team members of these awards will be significantly affected by movements in our stock price that are beyond our control</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40"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Although we have not historically experienced unique difficulties attracting qualified team members, we could experience such problems in the future. For example, competition for qualified personnel in our field is intense due to the limited number of individuals who possess the skills and experience required by our industry. In addition, we have experienced employee turnover and expect to continue to experience employee turnover in the future. New hires require significant training and, in most cases, take significant time before they achieve full productivity. New team members may not become as productive as we expect, and we may be unable to hire or retain sufficient numbers of qualified individuals. If our retention efforts are not successful or our employee turnover rate increases in the future, our business will be harmed.</w:t>
      </w:r>
    </w:p>
    <w:p>
      <w:pPr>
        <w:spacing w:after="0" w:line="18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tax and related risks</w:t>
      </w:r>
    </w:p>
    <w:p>
      <w:pPr>
        <w:spacing w:after="0" w:line="11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may require significant capital to fund our business, and our inability to generate and obtain such capital could harm our business, operating results, financial condition, and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fund our expanding business, we must have sufficient working capital to continue to make significant investments in our service offerings, advertising, technology, and other activities. As a result, in addition to the revenue we earn from our business, we may need additional equity or debt financing to provide the funds required for these endeavors. If such financing is not available on satisfactory terms or at all, we may be unable to operate or expand our business in the manner and at the rate desired. Debt financing increases expenses, may contain covenants that restrict the operation of our business and must be repaid regardless of operating results. Equity financing, or debt financing that is convertible into equity, could result in additional dilution to our existing stockholders, and any new securities we issue could have rights, preferences and privileges superior to those associated with our common stock. Furthermore, the current economic environment may make it difficult for us to raise additional capital or obtain additional credit, when needed, on acceptable terms or at all.</w:t>
      </w:r>
    </w:p>
    <w:p>
      <w:pPr>
        <w:spacing w:after="0" w:line="98"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inability to generate or obtain the financial resources needed to fund our business and growth strategies may require us to delay, scale back or eliminate some or all of our operations or the expansion of our business, which may have a material adverse effect on our business, operating results, financial condition and prospects.</w:t>
      </w:r>
    </w:p>
    <w:p>
      <w:pPr>
        <w:spacing w:after="0" w:line="7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decline in interest rate levels may reduce our ability to earn income on our custodial cash assets and to attract HSA contributions, which would adversely affect our profitability.</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non-bank custodian, we partner with FDIC-insured custodial depository banks to hold our custodial cash assets. We earn a significant portion of our consolidated revenue from fees we earn from our FDIC-insured custodial depository bank partners. For example, during the years ended January 31, 2018, 2017 and 2016, we earned an increasing portion (approximately 38%, 33% and 30%, respectively) of our total revenue from custodial revenue. A decline in prevailing interest rates may negatively affect our business by reducing the yield we realize on our custodial cash assets. In addition, if we do not offer competitive interest rates, our members may choose another HSA custodian. Any such scenario could materially and adversely affect our business and results of operations.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agreements could adversely affect our liquidity and financial condition.</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revolving credit facility, or credit agreement, with JPMorgan Chase Bank, N.A., provides for a secured revolving credit facility for a term of five years. Our credit agreement is required to be guaranteed by our material domestic subsidiaries, and it is secured by substantially all of our assets as well as substantially all assets of any subsidiary that becomes a guarantor. The credit agreement contains restrictive financial and other covenants which affect, among other things, the manner in which we may structure or operate our business. A failure by us to comply with our contractual obligations under the credit agreement, including restrictive, financial and other covenants, could result in a variety of material adverse consequences, including the acceleration of our indebtedness under the credit agreement and the exercise of remedies by our creditors thereunder. We cannot assure you that our assets or cash flow would be sufficient to fully repay borrowings under the credit agreement, either upon maturity or if accelerated upon an event of default, or that we would be able to refinance or restructure the payments becoming due on the credit agreement. Also, the lenders under the credit agreement could foreclose upon all or substantially all of the assets securing our obligations thereunder.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secure insurance may not be sufficient to cover potential liabilities.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various forms of liability insurance coverage, including coverage for errors and omissions, fiduciary, cybersecurity, employment practices, directors and officers insurance.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affect the current market acceptance of our products and services, any of which could materially adversely affect our reputation and our business.</w:t>
      </w:r>
    </w:p>
    <w:p>
      <w:pPr>
        <w:spacing w:after="0" w:line="7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are subject to taxes in numerous jurisdictions. Legislative, regulatory and legal developments involving income taxes could adversely affect our results of operations and cash flows.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subject to U.S. federal, U.S. state income, payroll, property, sales and use, and other types of taxes in numerous jurisdictions. Significant judgment is required in determining our provisions for income taxes. Changes in tax rates, enactments of new tax laws, revisions of tax regulations, and claims or litigation with taxing authorities could result in substantially higher taxes. As a result of the Tax Cuts and Jobs Act enacted on December 22, 2017, the reduction in the corporate income tax rate reduced the value of our existing deferred tax assets and consequently we recorded a provisional charge of $458,000 in the fiscal year ending January 31, 2018 related to this item. Other significant provisions of this tax reform are effective as of January 1, 2018, including, but not limited to: a limitation on the deductibility of net interest expense, changes in the deductibility of certain meals and entertainment business expenses, as well as moving expenses, transportation expenses, and other fringe benefits, and changes in the deductibility of certain employee remuneration in excess of $1 million. While we have applied these provisions in our accounting for income taxes using our interpretations and available guidance, the net impact of tax reform remains uncertain at this time and is subject to any other regulatory or administrative developments, including any regulations or other guidance promulgated by the U.S. Internal Revenue Service as well as state governments and may adversely affect our earnings.</w:t>
      </w:r>
    </w:p>
    <w:p>
      <w:pPr>
        <w:spacing w:after="0" w:line="8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If one or more jurisdictions successfully assert that we should have collected or in the future should collect additional sales and use taxes on our fees, we could be subject to additional liability with respect to past or future sales and the results of our operations could be adversely affected.</w:t>
      </w:r>
    </w:p>
    <w:p>
      <w:pPr>
        <w:spacing w:after="0" w:line="8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do not collect sales and use taxes in all jurisdictions in which our customers are located, based on our belief that such taxes are not applicable. Sales and use tax laws and rates vary by jurisdiction and such laws are subject to interpretation. In those jurisdictions and in those cases where we do believe sales taxes are applicable, we collect and file timely sales tax returns. Currently, such taxes are minimal. Jurisdictions in which we do not collect sales and use taxes may assert that such taxes are applicable, which could result in the assessment of such taxes, interest and penalties, and we could be required to collect such taxes in the future. This additional sales and use tax liability could adversely affect the results of our operations.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Acts of terrorism, acts of war and other unforeseen events may cause damage or disruption to us or our customers, which could materially and adversely affect our business, financial condition and operating results.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 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owning our common stock</w:t>
      </w:r>
    </w:p>
    <w:p>
      <w:pPr>
        <w:spacing w:after="0" w:line="22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 the future, investors may lose confidence in the accuracy and completeness of our financial reports and the market price of our common stock could be adversely affected.</w:t>
      </w:r>
    </w:p>
    <w:p>
      <w:pPr>
        <w:spacing w:after="0" w:line="17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A material weakness is a deficiency, or a combination of deficiencies, in financial reporting such that there is a reasonable possibility that a material misstatement of a company’s annual or interim financial statements will not be prevented or detected on a timely basis. Section 404 of the Sarbanes-Oxley Act, or Sarbanes-Oxley, requires that we evaluate and determine the effectiveness of our internal controls over financial reporting and provide a management report on internal controls over financial reporting. Sarbanes-Oxley also requires that our management report on internal controls over financial reporting be attested to by our independent registered public accounting firm.</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have a material weakness in our internal controls over financial reporting, we may not detect errors on a timely basis and our financial statements may be materially misstated. If we identify material weaknesses in our internal controls over financial reporting, if we are unable to comply with the requirements of Section 404 of Sarbanes-Oxley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In addition, we could become subject to investigations by the stock exchange on which our securities are listed, the SEC or other regulatory authorities, which could require additional financial and management resources.</w:t>
      </w:r>
    </w:p>
    <w:p>
      <w:pPr>
        <w:spacing w:after="0" w:line="7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quarterly operating results, including our revenue, gross profit, net income and cash flows,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If our quarterly operating results or guidance fall below the expectations of research analysts or investors, the price of our common stock could decline substantially. Our quarterly operating expenses and operating results may vary significantly in the future and period-to-period comparisons of our operating results may not be meaningful. You should not rely on the results of one quarter as an indication of future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stock market in general has been highly volatile. As a result, the market price and trading volume for our common stock may also be highly volatile, and investors in our common stock may experience a decrease in the value of their shares, including decreases unrelated to our operating performance or prospects. Factors that could cause the market price of our common stock to fluctuate significantly include:</w:t>
      </w:r>
    </w:p>
    <w:p>
      <w:pPr>
        <w:spacing w:after="0" w:line="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and the performance of other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that impact demand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financial guidance and other public announcements, and filings with the SEC;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or research analysts who track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data breaches or interruptions in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and other regulations, particularly those relating to the benefits of HSAs;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common stock by us, our investors or members of our Board and management team; and</w:t>
      </w:r>
    </w:p>
    <w:p>
      <w:pPr>
        <w:spacing w:after="0" w:line="11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telecommunications failure, cyber attack, civil unrest in various parts of the world, acts of war, terrorist attacks or other catastrophic events.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of these factors may result in large and sudden changes in the trading volume and market price of our common stock and may prevent you from being able to sell your shares at or above the price you paid for your shares of our common stock. Following periods of volatility in the market price of a company’s securities, stockholders often file securities class-action lawsuits against such company. Our involvement in a class-action lawsuit could divert our senior management’s attention and, if adversely determined, could have a material and adverse effect on our business, financial condition and results of operations.</w:t>
      </w:r>
    </w:p>
    <w:p>
      <w:pPr>
        <w:spacing w:after="0" w:line="7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 upon any future appreciation in its value. There is no guarantee that our common stock will appreciate in value or even maintain the price at which our stockholders have purchased their shares.</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stock, may adversely affect the market price of our common stock.</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we decide to issue debt securities in the future, which would rank senior to shares of our common stock,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shareholdings in 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team members.</w:t>
      </w:r>
    </w:p>
    <w:p>
      <w:pPr>
        <w:spacing w:after="0" w:line="8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where we lease approximately 187,000 square feet of office space under a lease that expires in March 2027. We also lease approximately 3,000 square feet of office space in Overland Park, Kansas under a lease that expires in February 2019 and lease additional space at data centers located in Draper, Utah and Austin, Texas, pursuant to leases expiring in July 2020 and November 2020, respectively. We believe that our current facilities are sufficient to meet our current needs.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As of the date of this Annual Report on Form 10-K, we are not a party to any litigation whereby the outcome of such litigation, if determined adversely to us, would individually or in the aggregate be reasonably expected to have a material adverse effect on our results of operations, prospects, cash flows, financial position or brand.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00" w:lineRule="exact"/>
        <w:rPr>
          <w:sz w:val="20"/>
          <w:szCs w:val="20"/>
          <w:color w:val="auto"/>
        </w:rPr>
      </w:pPr>
    </w:p>
    <w:p>
      <w:pPr>
        <w:spacing w:after="0" w:line="226" w:lineRule="exact"/>
        <w:rPr>
          <w:sz w:val="20"/>
          <w:szCs w:val="20"/>
          <w:color w:val="auto"/>
        </w:rPr>
      </w:pPr>
    </w:p>
    <w:p>
      <w:pPr>
        <w:ind w:right="56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common stock began trading publicly on the NASDAQ Global Select Market under the symbol "HQY" on July 31, 2014. Prior to that time, there was no public market for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As of February 28, 2018, there were approximately 27 holders of record of our common stock. This stockholder figure does not include a substantially greater number of holders whose shares are held of record by banks, brokers and other financial institutions.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following table sets forth the high and low sales prices for our common stock as reported by the NASDAQ Global Select Market for the indicated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Range</w:t>
            </w:r>
          </w:p>
        </w:tc>
      </w:tr>
      <w:tr>
        <w:trPr>
          <w:trHeight w:val="222"/>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January 31, 2018:</w:t>
            </w:r>
          </w:p>
        </w:tc>
        <w:tc>
          <w:tcPr>
            <w:tcW w:w="3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r>
      <w:tr>
        <w:trPr>
          <w:trHeight w:val="216"/>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55.31</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42.92</w:t>
            </w:r>
          </w:p>
        </w:tc>
      </w:tr>
      <w:tr>
        <w:trPr>
          <w:trHeight w:val="210"/>
        </w:trPr>
        <w:tc>
          <w:tcPr>
            <w:tcW w:w="476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31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52.87</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40.21</w:t>
            </w:r>
          </w:p>
        </w:tc>
      </w:tr>
      <w:tr>
        <w:trPr>
          <w:trHeight w:val="222"/>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54.50</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43.51</w:t>
            </w:r>
          </w:p>
        </w:tc>
      </w:tr>
      <w:tr>
        <w:trPr>
          <w:trHeight w:val="210"/>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First Quarter</w:t>
            </w:r>
          </w:p>
        </w:tc>
        <w:tc>
          <w:tcPr>
            <w:tcW w:w="31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47.91</w:t>
            </w:r>
          </w:p>
        </w:tc>
        <w:tc>
          <w:tcPr>
            <w:tcW w:w="7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Range</w:t>
            </w:r>
          </w:p>
        </w:tc>
      </w:tr>
      <w:tr>
        <w:trPr>
          <w:trHeight w:val="222"/>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January 31, 2017:</w:t>
            </w:r>
          </w:p>
        </w:tc>
        <w:tc>
          <w:tcPr>
            <w:tcW w:w="3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r>
      <w:tr>
        <w:trPr>
          <w:trHeight w:val="216"/>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49.25</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30.34</w:t>
            </w:r>
          </w:p>
        </w:tc>
      </w:tr>
      <w:tr>
        <w:trPr>
          <w:trHeight w:val="210"/>
        </w:trPr>
        <w:tc>
          <w:tcPr>
            <w:tcW w:w="476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31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38.80</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28.12</w:t>
            </w:r>
          </w:p>
        </w:tc>
      </w:tr>
      <w:tr>
        <w:trPr>
          <w:trHeight w:val="222"/>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31.69</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w:t>
            </w:r>
          </w:p>
        </w:tc>
      </w:tr>
      <w:tr>
        <w:trPr>
          <w:trHeight w:val="26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First Quarter</w:t>
            </w:r>
          </w:p>
        </w:tc>
        <w:tc>
          <w:tcPr>
            <w:tcW w:w="31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26.75</w:t>
            </w:r>
          </w:p>
        </w:tc>
        <w:tc>
          <w:tcPr>
            <w:tcW w:w="7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of this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July 31, 2014 (the date our common stock commenced trading on the NASDAQ Global Select Market) through January 31, 2018. The chart assumes $100 was invested on July 31, 2014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130810</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equity securities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August 5, 2014, we closed our initial public offering of 10,465,000 shares of common stock sold by us. The offer and sale of all of the shares in the initial public offering were registered under the Securities Act pursuant to a registration statement on Form S-1 (File No. 333-196645), which was declared effective by the SEC on July 30, 2014. JP Morgan &amp; Chase Co. and Wells Fargo acted as the lead underwriters. The public offering price of the shares sold in the offering was $14.00 per share. The total gross proceeds from the offering to us were approximately $146.5 million. After deducting underwriting discounts and commissions of approximately $10.2 million and offering expenses payable by us of approximately $3.7 million, we received approximately $132.6 million. There has been no material change in the planned use of proceeds from our initial public offering as described in our final prospectus (dated July 30, 2014) filed with the SEC on August 1, 2014 pursuant to Rule 424(b) of the Securities Act. In connection with the completion of our initial public offering, we paid a previously declared cash dividend of $50.0 million on shares of our common stock outstanding on August 4, 2014. In addition,</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40"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paid a cash dividend of $347,000 on shares of our outstanding series D-3 redeemable convertible preferred stock accrued through the date of conversion of such shares into common stock, which occurred on August 4, 2014.</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May 11, 2015, we closed our public offering of 972,500 shares of common stock sold by us. The offer and sale of all of the shares in the public offering were registered under the Securities Act pursuant to registration statements on Form S-1 (File Nos. 333-203190 and 333-203888), which became effective on May 5, 2015. Wells Fargo acted as the lead underwriter. The public offering price of the shares sold in the offering was $25.90 per share. Certain selling stockholders sold 3,455,000 shares of common stock in the offering, including 380,000 shares of common stock which were issued upon the exercise of outstanding options. The Company received net proceeds of approximately $23.5 million after deducting underwriting discounts and commissions of approximately $ 1.0 million and other offering expenses payable by the Company of approximately $688,000. The Company did not receive any proceeds from the sale of shares by the selling stockholders other than $222,000 representing the exercise price of the options that were exercised by certain selling stockholders in connection with the offering. We paid all of the expenses related to the registration and offering of the shares sold by the selling stockholders, other than underwriting discounts and commissions relating to those shares. Other than these expenses, we made no payments directly or indirectly to (i) any of our officers or directors or their associates, (ii) any persons owning 10% or more of any class of our equity securities, or (iii) any of our affiliates. There has been no material change in the planned use of proceeds from our public offering as described in our final prospectus (dated May 5, 2015) filed with the SEC on May 6, 2015 pursuant to Rule 424(b) of the Securities Act.</w:t>
      </w:r>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year ended January 31, 2016, the Company used funds received from the offerings to acquire the rights to be the custodian of the Bancorp and M&amp;T Bank HSA portfolios for approximately $34.2 million and approximately $6.2 million, respectively.</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year ended January 31, 2018, the Company used funds received from the offerings to acquire the rights to be custodian of two HSA portfolios for approximately $6.4 million and $8.0 million in cash, respectively, the assets of BenefitGuard LLC, a 401(k) provider that offers plan administrator and named fiduciary services for 401(k) employer sponsors, for approximately $2.9 million, and the rights to be the sole administrator of a portfolio of HSA Members for $3.3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the funds received have been invested in registered money market accounts and mutual funds.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ind w:right="5440"/>
        <w:spacing w:after="0" w:line="412"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selected consolidated financial data is derived from our consolidated financial statements. As our operating results are not necessarily indicative of future operating results, this data should be read in conjunction with the consolidated financial statements and notes thereto, and with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77470</wp:posOffset>
            </wp:positionV>
            <wp:extent cx="72123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6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 ended January 31,</w:t>
            </w:r>
          </w:p>
        </w:tc>
      </w:tr>
      <w:tr>
        <w:trPr>
          <w:trHeight w:val="27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 share data)</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statements of operations data:</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4"/>
                <w:szCs w:val="14"/>
                <w:color w:val="auto"/>
              </w:rPr>
              <w:t>Revenue</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229,525</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178,370</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126,786</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87,855</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62,015</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94,609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72,015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54,188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39,882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29,213</w:t>
            </w:r>
          </w:p>
        </w:tc>
      </w:tr>
      <w:tr>
        <w:trPr>
          <w:trHeight w:val="250"/>
        </w:trPr>
        <w:tc>
          <w:tcPr>
            <w:tcW w:w="35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134,916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106,355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47,973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32,802</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80,498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65,143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46,455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31,100</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21,278</w:t>
            </w:r>
          </w:p>
        </w:tc>
      </w:tr>
      <w:tr>
        <w:trPr>
          <w:trHeight w:val="250"/>
        </w:trPr>
        <w:tc>
          <w:tcPr>
            <w:tcW w:w="352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54,418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41,212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26,143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11,524</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(6,150)</w:t>
            </w:r>
          </w:p>
        </w:tc>
      </w:tr>
      <w:tr>
        <w:trPr>
          <w:trHeight w:val="250"/>
        </w:trPr>
        <w:tc>
          <w:tcPr>
            <w:tcW w:w="35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52,189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40,120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25,554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15,764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5,374</w:t>
            </w:r>
          </w:p>
        </w:tc>
      </w:tr>
      <w:tr>
        <w:trPr>
          <w:trHeight w:val="27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Income tax provision </w:t>
            </w:r>
            <w:r>
              <w:rPr>
                <w:rFonts w:ascii="Arial" w:cs="Arial" w:eastAsia="Arial" w:hAnsi="Arial"/>
                <w:sz w:val="17"/>
                <w:szCs w:val="17"/>
                <w:color w:val="auto"/>
                <w:vertAlign w:val="superscript"/>
              </w:rPr>
              <w:t>(1)</w:t>
            </w: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4,827</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13,744</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8,941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4,141</w:t>
            </w:r>
          </w:p>
        </w:tc>
      </w:tr>
      <w:tr>
        <w:trPr>
          <w:trHeight w:val="244"/>
        </w:trPr>
        <w:tc>
          <w:tcPr>
            <w:tcW w:w="35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47,362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26,376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16,613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1,233</w:t>
            </w:r>
          </w:p>
        </w:tc>
      </w:tr>
      <w:tr>
        <w:trPr>
          <w:trHeight w:val="18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4"/>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64"/>
        </w:trPr>
        <w:tc>
          <w:tcPr>
            <w:tcW w:w="3520" w:type="dxa"/>
            <w:vAlign w:val="bottom"/>
          </w:tcPr>
          <w:p>
            <w:pPr>
              <w:ind w:left="160"/>
              <w:spacing w:after="0"/>
              <w:rPr>
                <w:sz w:val="20"/>
                <w:szCs w:val="20"/>
                <w:color w:val="auto"/>
              </w:rPr>
            </w:pPr>
            <w:r>
              <w:rPr>
                <w:rFonts w:ascii="Arial" w:cs="Arial" w:eastAsia="Arial" w:hAnsi="Arial"/>
                <w:sz w:val="14"/>
                <w:szCs w:val="14"/>
                <w:color w:val="auto"/>
              </w:rPr>
              <w:t>Basic</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47,362</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26,376</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16,613</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12,058</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(7,132)</w:t>
            </w:r>
          </w:p>
        </w:tc>
      </w:tr>
      <w:tr>
        <w:trPr>
          <w:trHeight w:val="276"/>
        </w:trPr>
        <w:tc>
          <w:tcPr>
            <w:tcW w:w="3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47,362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(7,132)</w:t>
            </w:r>
          </w:p>
        </w:tc>
      </w:tr>
      <w:tr>
        <w:trPr>
          <w:trHeight w:val="194"/>
        </w:trPr>
        <w:tc>
          <w:tcPr>
            <w:tcW w:w="352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common</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352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76"/>
        </w:trPr>
        <w:tc>
          <w:tcPr>
            <w:tcW w:w="3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64"/>
        </w:trPr>
        <w:tc>
          <w:tcPr>
            <w:tcW w:w="3520" w:type="dxa"/>
            <w:vAlign w:val="bottom"/>
          </w:tcPr>
          <w:p>
            <w:pPr>
              <w:ind w:left="160"/>
              <w:spacing w:after="0"/>
              <w:rPr>
                <w:sz w:val="20"/>
                <w:szCs w:val="20"/>
                <w:color w:val="auto"/>
              </w:rPr>
            </w:pPr>
            <w:r>
              <w:rPr>
                <w:rFonts w:ascii="Arial" w:cs="Arial" w:eastAsia="Arial" w:hAnsi="Arial"/>
                <w:sz w:val="14"/>
                <w:szCs w:val="14"/>
                <w:color w:val="auto"/>
              </w:rPr>
              <w:t>Diluted</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in</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computing net income per share attributable to</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64"/>
        </w:trPr>
        <w:tc>
          <w:tcPr>
            <w:tcW w:w="3520" w:type="dxa"/>
            <w:vAlign w:val="bottom"/>
          </w:tcPr>
          <w:p>
            <w:pPr>
              <w:ind w:left="160"/>
              <w:spacing w:after="0"/>
              <w:rPr>
                <w:sz w:val="20"/>
                <w:szCs w:val="20"/>
                <w:color w:val="auto"/>
              </w:rPr>
            </w:pPr>
            <w:r>
              <w:rPr>
                <w:rFonts w:ascii="Arial" w:cs="Arial" w:eastAsia="Arial" w:hAnsi="Arial"/>
                <w:sz w:val="14"/>
                <w:szCs w:val="14"/>
                <w:color w:val="auto"/>
              </w:rPr>
              <w:t>Basic</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60,304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58,615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56,719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31,181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5,651</w:t>
            </w:r>
          </w:p>
        </w:tc>
      </w:tr>
      <w:tr>
        <w:trPr>
          <w:trHeight w:val="276"/>
        </w:trPr>
        <w:tc>
          <w:tcPr>
            <w:tcW w:w="3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61,854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59,894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58,863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51,856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5,651</w:t>
            </w:r>
          </w:p>
        </w:tc>
      </w:tr>
      <w:tr>
        <w:trPr>
          <w:trHeight w:val="264"/>
        </w:trPr>
        <w:tc>
          <w:tcPr>
            <w:tcW w:w="3520" w:type="dxa"/>
            <w:vAlign w:val="bottom"/>
          </w:tcPr>
          <w:p>
            <w:pPr>
              <w:ind w:left="20"/>
              <w:spacing w:after="0"/>
              <w:rPr>
                <w:sz w:val="20"/>
                <w:szCs w:val="20"/>
                <w:color w:val="auto"/>
              </w:rPr>
            </w:pPr>
            <w:r>
              <w:rPr>
                <w:rFonts w:ascii="Arial" w:cs="Arial" w:eastAsia="Arial" w:hAnsi="Arial"/>
                <w:sz w:val="14"/>
                <w:szCs w:val="14"/>
                <w:color w:val="auto"/>
              </w:rPr>
              <w:t>Consolidated balance sheet data:</w:t>
            </w: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marketable securities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240,269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180,359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123,775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13,917</w:t>
            </w:r>
          </w:p>
        </w:tc>
      </w:tr>
      <w:tr>
        <w:trPr>
          <w:trHeight w:val="264"/>
        </w:trPr>
        <w:tc>
          <w:tcPr>
            <w:tcW w:w="3520" w:type="dxa"/>
            <w:vAlign w:val="bottom"/>
          </w:tcPr>
          <w:p>
            <w:pPr>
              <w:ind w:left="20"/>
              <w:spacing w:after="0"/>
              <w:rPr>
                <w:sz w:val="20"/>
                <w:szCs w:val="20"/>
                <w:color w:val="auto"/>
              </w:rPr>
            </w:pPr>
            <w:r>
              <w:rPr>
                <w:rFonts w:ascii="Arial" w:cs="Arial" w:eastAsia="Arial" w:hAnsi="Arial"/>
                <w:sz w:val="14"/>
                <w:szCs w:val="14"/>
                <w:color w:val="auto"/>
              </w:rPr>
              <w:t>Working capital</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244,906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185,116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130,942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115,888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14,327</w:t>
            </w:r>
          </w:p>
        </w:tc>
      </w:tr>
      <w:tr>
        <w:trPr>
          <w:trHeight w:val="27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369,159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279,136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219,795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158,769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55,090</w:t>
            </w:r>
          </w:p>
        </w:tc>
      </w:tr>
      <w:tr>
        <w:trPr>
          <w:trHeight w:val="264"/>
        </w:trPr>
        <w:tc>
          <w:tcPr>
            <w:tcW w:w="35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22,885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17,196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16,338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14,674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21,082</w:t>
            </w:r>
          </w:p>
        </w:tc>
      </w:tr>
      <w:tr>
        <w:trPr>
          <w:trHeight w:val="27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redeemable convertible preferred stock</w:t>
            </w:r>
          </w:p>
        </w:tc>
        <w:tc>
          <w:tcPr>
            <w:tcW w:w="4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46,714</w:t>
            </w:r>
          </w:p>
        </w:tc>
      </w:tr>
      <w:tr>
        <w:trPr>
          <w:trHeight w:val="258"/>
        </w:trPr>
        <w:tc>
          <w:tcPr>
            <w:tcW w:w="352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346,274</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261,940</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203,457</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144,095</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 w:lineRule="exact"/>
        <w:rPr>
          <w:sz w:val="20"/>
          <w:szCs w:val="20"/>
          <w:color w:val="auto"/>
        </w:rPr>
      </w:pPr>
    </w:p>
    <w:p>
      <w:pPr>
        <w:ind w:right="20" w:firstLine="8"/>
        <w:spacing w:after="0" w:line="256"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the year ended January 31, 2018, the Company recorded excess tax benefits of $14.1 million within its provision for income taxes in the consolidated statements of operations and comprehensive income due to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3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 leader and an innovator in the high-growth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w:t>
      </w:r>
    </w:p>
    <w:p>
      <w:pPr>
        <w:spacing w:after="0" w:line="9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core of our ecosystem is the HSA, a financial account through which consumers spend and save long-term for healthcare on a tax-advantaged basis. We are the integrated HSA platform for 124 Health Plan and Administrator Partners and over 40,000 employer clients.</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Since our inception in 2002, we have been committed to developing technology solutions that empower healthcare consumers. In 2003, we began offering live 24/7/365 consumer support from health saving and spending experts. In 2005, we integrated HSAs with our first health plan partner, and in 2006, we were authorized to act as an HSA custodian by the U.S. Department of the Treasury. In 2009, we integrated HSAs with multiple health plans of a single large employer, began delivering integrated wellness incentives through an HSA, and partnered with a private health insurance exchange as its preferred HSA partner. In 2011, we integrated HSAs, RAs, and investment accounts on one website, and in 2013, our registered investment advisor subsidiary began delivering HSA-specific investment advice online. In 2015, we launched our HSA Optimizer, which helps HSA members optimize their accounts based on their individual preferences and goals. In 2016, we launched a new feature which provides account holders advance access to funds.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revenue, custodial revenue and interchange revenue. We earn service revenue by providing monthly account services on our platform, primarily through contracts with our Network Partners, and custodial agreements with individual members. We earn custodial revenue from custodial cash assets deposited with our FDIC-insured custodial depository bank partners and with our insurance company partner, and recordkeeping fees we earn in respect of mutual funds in which our members invest. We also earn interchange revenue from interchange fees that we earn on payments that our members make using our physical and virtual payment cards.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believe that our performance and future success are driven by a number of factors, including those identified below. Each of these factors presents both significant opportunities and significant risks to our future performance. See the section entitled “Risk factors” included in Part 1, Item 1A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private health insurance</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in the United States, which is impacted by changes affecting the broader healthcare industry in the U.S. The healthcare industry has changed significantly in recent years, and we expect that significant changes will continue to occur that will result in increased participation in HDHPs and other consumer-centric health plans. In particular, we believe that continued growth in healthcare costs, and related factors will spur HDHP and HSA growth; however, the timing and impact of these and other developments in the healthcare industry are difficult to predict, and changes in U.S. healthcare policy could adversely affect our business.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penetrating network partners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created our business model to take advantage of the changing dynamics of the U.S. private health insurance market. Our model is based on a B2B2C distribution strategy, meaning that we rely on our Employer Partners and Health Plan and Administrator Partners to reach potential members to increase the number of our HSA Members. Our success depends in large part on our ability to further penetrate our existing Network Partners by adding new HSA Members from these partners and adding new Network Partners.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innovative technology platform</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believe that innovations incorporated in our technology that enable consumers to make healthcare saving and spending decisions differentiate us from our competitors and drive our growth in revenue, HSA Members, Network Partners and custodial assets. Similarly, these innovations underpin our ability to provide a differentiated consumer experience in a cost-effective manner. For example, we are currently undertaking a significant update of our proprietary platform’s architecture, which will allow us to improve our transaction processing capabilities and related platform infrastructure to support continued account and transaction growth. We intend to continue to invest in our technology development to enhance our platform’s capabilities and infrastructure.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“DEEP Purple” culture</w:t>
      </w:r>
    </w:p>
    <w:p>
      <w:pPr>
        <w:spacing w:after="0" w:line="13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new healthcare consumer needs education and guidance delivered by people as well as technology. We believe that our "DEEP Purple" culture which we define as driving excellence, ethics, and process while providing remarkable service, is a significant factor in our ability to attract and retain customers and to address nimbly opportunities in the rapidly changing healthcare sector. We make significant efforts to promote and foster DEEP Purple within our workforce. We invest in and intend to continue to invest in human capital through technology-enabled training, career development and advancement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non-bank custodian, we contract with FDIC-insured custodial depository bank partners and an insurance company partner to hold custodial cash assets on behalf of our members, and we earn a significant portion of our total revenue from interest rates offered to us by these partners. The contract terms range from three to five years and have either fixed or variable interest rates. As our custodial assets increase and existing agreements expire, we seek to enter into new contracts with FDIC-insured custodial depository bank partners, the terms of which are impacted by the then-prevailing interest rate environment. The diversification of deposits among bank partners and varied contract terms substantially reduces our exposure to short-term fluctuations in prevailing interest rates and mitigates the short-term impact of a sustained increase or decline in prevailing interest rates on our custodial revenue. 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over time. An increase in our yield would increase our custodial revenue as a percentage of total revenue. In addition, as our yield increases, we expect the spread to grow between the interest offered to us by our custodial depository bank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direct competitors are HSA custodians. Many of these are state or federally chartered banks and other financial institutions for which we believe technology-based healthcare services are not a core business. Certain of our direct competitors have chosen to exit the market despite increased demand for these services. This has created, and we believe will continue to create, opportunities for us to leverage our technology platform and capabilities to increase our market share. However, some of our direct competitors are in a position, should they choose, to devote more resources to the development, sale and support of their products and services than we have at our disposal. In addition, numerous indirect competitors, including benefits administration technology and service providers, partner with banks and other HSA custodians to compete with us. Our Health Plan and Administrator Partners may also choose to offer technology-based healthcare services directly, as some health plans have done. Our success depends on our ability to predict and react quickly to these and other industry and competitive dynamics.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Federal law and regulations, including the Affordable Care Act, the Internal Revenue Code and IRS regulations, the Employee Retirement Income Security Act and Department of Labor regulations, and public health regulations that govern the provision of health insurance, play a pivotal role in determining our market opportunity. Privacy and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laundry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fiduciary rules that can affect our business. Our ability to predict and react quickly to relevant legal and regulatory trends and to correctly interpret their market and competitive implications is important to our success.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successful history of acquiring complementary assets and businesses that strengthen our platform. We seek to continue this growth strategy and are regularly engaged in evaluating different opportunities. We have developed an internal capability to source, evaluate and integrate acquisitions that have created value for shareholders. We believe the nature of our competitive landscape provides a significant acquisition opportunity. Many of our competitors view their HSA businesses as non-core functions. We believe more of them will look to divest these assets and, in certain cases, be limited from making acquisitions due to depository capital requirements. We intend to continue to pursue acquisitions of complementary assets and businesses that we believe will strengthen our platform.</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Members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Members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auto"/>
              </w:rPr>
              <w:t>% change from</w:t>
            </w: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3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January 31, 2018</w:t>
            </w: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January 31, 2017</w:t>
            </w: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January 31, 2016</w:t>
            </w:r>
          </w:p>
        </w:tc>
        <w:tc>
          <w:tcPr>
            <w:tcW w:w="1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 to 2018</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 to 2017</w:t>
            </w: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HSA Members</w:t>
            </w:r>
          </w:p>
        </w:tc>
        <w:tc>
          <w:tcPr>
            <w:tcW w:w="1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3,402,889</w:t>
            </w:r>
          </w:p>
        </w:tc>
        <w:tc>
          <w:tcPr>
            <w:tcW w:w="15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2,746,132</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2,140,631</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10"/>
        </w:trPr>
        <w:tc>
          <w:tcPr>
            <w:tcW w:w="3200" w:type="dxa"/>
            <w:vAlign w:val="bottom"/>
          </w:tcPr>
          <w:p>
            <w:pPr>
              <w:ind w:left="40"/>
              <w:spacing w:after="0"/>
              <w:rPr>
                <w:sz w:val="20"/>
                <w:szCs w:val="20"/>
                <w:color w:val="auto"/>
              </w:rPr>
            </w:pPr>
            <w:r>
              <w:rPr>
                <w:rFonts w:ascii="Arial" w:cs="Arial" w:eastAsia="Arial" w:hAnsi="Arial"/>
                <w:sz w:val="14"/>
                <w:szCs w:val="14"/>
                <w:color w:val="auto"/>
              </w:rPr>
              <w:t>Average HSA Members - Year-to-date</w:t>
            </w:r>
          </w:p>
        </w:tc>
        <w:tc>
          <w:tcPr>
            <w:tcW w:w="1900" w:type="dxa"/>
            <w:vAlign w:val="bottom"/>
          </w:tcPr>
          <w:p>
            <w:pPr>
              <w:jc w:val="right"/>
              <w:ind w:right="148"/>
              <w:spacing w:after="0"/>
              <w:rPr>
                <w:sz w:val="20"/>
                <w:szCs w:val="20"/>
                <w:color w:val="auto"/>
              </w:rPr>
            </w:pPr>
            <w:r>
              <w:rPr>
                <w:rFonts w:ascii="Arial" w:cs="Arial" w:eastAsia="Arial" w:hAnsi="Arial"/>
                <w:sz w:val="14"/>
                <w:szCs w:val="14"/>
                <w:color w:val="auto"/>
              </w:rPr>
              <w:t>2,951,790</w:t>
            </w: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2,339,091</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1,600,327</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14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HSA Members - Quarter-to-date</w:t>
            </w:r>
          </w:p>
        </w:tc>
        <w:tc>
          <w:tcPr>
            <w:tcW w:w="1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3,188,927</w:t>
            </w:r>
          </w:p>
        </w:tc>
        <w:tc>
          <w:tcPr>
            <w:tcW w:w="15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2,519,382</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1,850,843</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10"/>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HSA Members with investments</w:t>
            </w:r>
          </w:p>
        </w:tc>
        <w:tc>
          <w:tcPr>
            <w:tcW w:w="1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121,614</w:t>
            </w: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65,906</w:t>
            </w: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44,680</w:t>
            </w: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HSA Members is critical because our service revenue is driven by the amount we charge per HSA Member.</w:t>
      </w:r>
    </w:p>
    <w:p>
      <w:pPr>
        <w:spacing w:after="0" w:line="11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number of our HSA Members increased by approximately 657,000, or 24%, from January 31, 2017 to January 31, 2018, and by approximately 606,000, or 28%, from January 31, 2016 to January 31, 2017.</w:t>
      </w:r>
    </w:p>
    <w:p>
      <w:pPr>
        <w:spacing w:after="0" w:line="8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increase in the number of our HSA Members in these periods was primarily driven by the addition of new Network Partners and further penetration into existing Network Partners. In addition, during the year ended January 31, 2018, we acquired the rights to be custodian of First Interstate Bancsystem and Alliant Credit Union portfolios consisting of approximately 14,000 and 40,000 HSA Members, respectively. During the year ended January 31, 2016, we acquired the rights to be the custodian of the Bancorp Bank and M&amp;T Bank HSA portfolios consisting of approximately 160,000 and 35,000 HSA Members, respectively, the latter of which transitioned to our platform during the year ended January 31, 2017.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custodial assets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tcPr>
          <w:p>
            <w:pPr>
              <w:jc w:val="right"/>
              <w:ind w:right="277"/>
              <w:spacing w:after="0"/>
              <w:rPr>
                <w:sz w:val="20"/>
                <w:szCs w:val="20"/>
                <w:color w:val="auto"/>
              </w:rPr>
            </w:pPr>
            <w:r>
              <w:rPr>
                <w:rFonts w:ascii="Arial" w:cs="Arial" w:eastAsia="Arial" w:hAnsi="Arial"/>
                <w:sz w:val="13"/>
                <w:szCs w:val="13"/>
                <w:b w:val="1"/>
                <w:bCs w:val="1"/>
                <w:color w:val="auto"/>
              </w:rPr>
              <w:t>% change from</w:t>
            </w:r>
          </w:p>
        </w:tc>
        <w:tc>
          <w:tcPr>
            <w:tcW w:w="1300" w:type="dxa"/>
            <w:vAlign w:val="bottom"/>
          </w:tcPr>
          <w:p>
            <w:pPr>
              <w:jc w:val="right"/>
              <w:ind w:right="77"/>
              <w:spacing w:after="0"/>
              <w:rPr>
                <w:sz w:val="20"/>
                <w:szCs w:val="20"/>
                <w:color w:val="auto"/>
              </w:rPr>
            </w:pPr>
            <w:r>
              <w:rPr>
                <w:rFonts w:ascii="Arial" w:cs="Arial" w:eastAsia="Arial" w:hAnsi="Arial"/>
                <w:sz w:val="13"/>
                <w:szCs w:val="13"/>
                <w:b w:val="1"/>
                <w:bCs w:val="1"/>
                <w:color w:val="auto"/>
              </w:rPr>
              <w:t>% change from</w:t>
            </w:r>
          </w:p>
        </w:tc>
      </w:tr>
      <w:tr>
        <w:trPr>
          <w:trHeight w:val="226"/>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 except percentages)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January 31, 2018</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January 31, 2017</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January 31, 2016</w:t>
            </w:r>
          </w:p>
        </w:tc>
        <w:tc>
          <w:tcPr>
            <w:tcW w:w="17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2017 to 2018</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2016 to 2017</w:t>
            </w:r>
          </w:p>
        </w:tc>
      </w:tr>
      <w:tr>
        <w:trPr>
          <w:trHeight w:val="216"/>
        </w:trPr>
        <w:tc>
          <w:tcPr>
            <w:tcW w:w="3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Custodial cash</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5,489,617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4,380,487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3,278,628</w:t>
            </w:r>
          </w:p>
        </w:tc>
        <w:tc>
          <w:tcPr>
            <w:tcW w:w="17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10"/>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Custodial investments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1,288,693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658,580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405,878</w:t>
            </w:r>
          </w:p>
        </w:tc>
        <w:tc>
          <w:tcPr>
            <w:tcW w:w="1700" w:type="dxa"/>
            <w:vAlign w:val="bottom"/>
            <w:tcBorders>
              <w:bottom w:val="single" w:sz="8" w:color="CCEEFF"/>
            </w:tcBorders>
          </w:tcPr>
          <w:p>
            <w:pPr>
              <w:jc w:val="right"/>
              <w:ind w:right="177"/>
              <w:spacing w:after="0"/>
              <w:rPr>
                <w:sz w:val="20"/>
                <w:szCs w:val="20"/>
                <w:color w:val="auto"/>
              </w:rPr>
            </w:pPr>
            <w:r>
              <w:rPr>
                <w:rFonts w:ascii="Arial" w:cs="Arial" w:eastAsia="Arial" w:hAnsi="Arial"/>
                <w:sz w:val="13"/>
                <w:szCs w:val="13"/>
                <w:color w:val="auto"/>
              </w:rPr>
              <w:t>96%</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62%</w:t>
            </w:r>
          </w:p>
        </w:tc>
      </w:tr>
      <w:tr>
        <w:trPr>
          <w:trHeight w:val="196"/>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custodial assets</w:t>
            </w: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6,778,310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5,039,067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3,684,506</w:t>
            </w:r>
          </w:p>
        </w:tc>
        <w:tc>
          <w:tcPr>
            <w:tcW w:w="1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35%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208"/>
        </w:trPr>
        <w:tc>
          <w:tcPr>
            <w:tcW w:w="3460" w:type="dxa"/>
            <w:vAlign w:val="bottom"/>
          </w:tcPr>
          <w:p>
            <w:pPr>
              <w:ind w:left="40"/>
              <w:spacing w:after="0"/>
              <w:rPr>
                <w:sz w:val="20"/>
                <w:szCs w:val="20"/>
                <w:color w:val="auto"/>
              </w:rPr>
            </w:pPr>
            <w:r>
              <w:rPr>
                <w:rFonts w:ascii="Arial" w:cs="Arial" w:eastAsia="Arial" w:hAnsi="Arial"/>
                <w:sz w:val="13"/>
                <w:szCs w:val="13"/>
                <w:color w:val="auto"/>
              </w:rPr>
              <w:t>Average daily custodial cash - Year-to-date</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4,571,341</w:t>
            </w:r>
          </w:p>
        </w:tc>
        <w:tc>
          <w:tcPr>
            <w:tcW w:w="1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3,661,058</w:t>
            </w:r>
          </w:p>
        </w:tc>
        <w:tc>
          <w:tcPr>
            <w:tcW w:w="10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2,326,506</w:t>
            </w:r>
          </w:p>
        </w:tc>
        <w:tc>
          <w:tcPr>
            <w:tcW w:w="170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3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18"/>
        </w:trPr>
        <w:tc>
          <w:tcPr>
            <w:tcW w:w="3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Average daily custodial cash - Quarter-to-date</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4,876,438</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3,854,518</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2,682,827</w:t>
            </w:r>
          </w:p>
        </w:tc>
        <w:tc>
          <w:tcPr>
            <w:tcW w:w="17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bl>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custodial assets, which are our HSA Members' assets for which we are the custodian, consist of the following components: (1) custodial cash deposits, which are deposits with our FDIC-insured custodial depository bank partners, (2) custodial cash deposits invested in an annuity contract with our insurance company partner and (3) members' investments in mutual funds through our custodial investment fund partner. Measuring our custodial assets is important because our custodial revenue is directly affected by average daily custodial balances.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total custodial assets increased by $1.7 billion, or 35%, from January 31, 2017 to January 31, 2018. Our total custodial assets increased by $1.4 billion, or 37%, from January 31, 2016 to January 31, 2017. The increase in total custodial assets in these periods was driven by additional custodial assets from our existing HSA Members and new custodial assets from new HSA Members added during the fiscal year. In addition, during the year ended January 31, 2018, we acquired the rights to be custodian of First Interstate Bancsystem and Alliant Credit Union portfolios consisting of approximately $55.0 million and $109.0 million of custodial assets, respectively.</w:t>
      </w:r>
    </w:p>
    <w:p>
      <w:pPr>
        <w:spacing w:after="0" w:line="9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During the year ended January 31, 2016, we acquired the rights to be the custodian of the Bancorp Bank and M&amp;T Bank HSA portfolios consisting of approximately $390.0 million and $63.0 million of custodial assets, respectively, the latter of which transitioned to our platform during the year ended January 31, 2017.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stock-based compensation expense, and certain other non-cash statement of operations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pacing w:after="0" w:line="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Adjusted EBITDA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16"/>
        </w:trPr>
        <w:tc>
          <w:tcPr>
            <w:tcW w:w="7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16,613</w:t>
            </w:r>
          </w:p>
        </w:tc>
      </w:tr>
      <w:tr>
        <w:trPr>
          <w:trHeight w:val="210"/>
        </w:trPr>
        <w:tc>
          <w:tcPr>
            <w:tcW w:w="716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22"/>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r>
      <w:tr>
        <w:trPr>
          <w:trHeight w:val="210"/>
        </w:trPr>
        <w:tc>
          <w:tcPr>
            <w:tcW w:w="7160" w:type="dxa"/>
            <w:vAlign w:val="bottom"/>
          </w:tcPr>
          <w:p>
            <w:pPr>
              <w:ind w:left="180"/>
              <w:spacing w:after="0"/>
              <w:rPr>
                <w:sz w:val="20"/>
                <w:szCs w:val="20"/>
                <w:color w:val="auto"/>
              </w:rPr>
            </w:pPr>
            <w:r>
              <w:rPr>
                <w:rFonts w:ascii="Arial" w:cs="Arial" w:eastAsia="Arial" w:hAnsi="Arial"/>
                <w:sz w:val="14"/>
                <w:szCs w:val="14"/>
                <w:color w:val="auto"/>
              </w:rPr>
              <w:t>Income tax provision</w:t>
            </w:r>
          </w:p>
        </w:tc>
        <w:tc>
          <w:tcPr>
            <w:tcW w:w="4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8,941</w:t>
            </w:r>
          </w:p>
        </w:tc>
      </w:tr>
      <w:tr>
        <w:trPr>
          <w:trHeight w:val="222"/>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6,393</w:t>
            </w:r>
          </w:p>
        </w:tc>
      </w:tr>
      <w:tr>
        <w:trPr>
          <w:trHeight w:val="210"/>
        </w:trPr>
        <w:tc>
          <w:tcPr>
            <w:tcW w:w="7160" w:type="dxa"/>
            <w:vAlign w:val="bottom"/>
          </w:tcPr>
          <w:p>
            <w:pPr>
              <w:ind w:left="180"/>
              <w:spacing w:after="0"/>
              <w:rPr>
                <w:sz w:val="20"/>
                <w:szCs w:val="20"/>
                <w:color w:val="auto"/>
              </w:rPr>
            </w:pPr>
            <w:r>
              <w:rPr>
                <w:rFonts w:ascii="Arial" w:cs="Arial" w:eastAsia="Arial" w:hAnsi="Arial"/>
                <w:sz w:val="14"/>
                <w:szCs w:val="14"/>
                <w:color w:val="auto"/>
              </w:rPr>
              <w:t>Amortization of acquired intangible assets</w:t>
            </w:r>
          </w:p>
        </w:tc>
        <w:tc>
          <w:tcPr>
            <w:tcW w:w="4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2,208</w:t>
            </w:r>
          </w:p>
        </w:tc>
      </w:tr>
      <w:tr>
        <w:trPr>
          <w:trHeight w:val="222"/>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5,883</w:t>
            </w:r>
          </w:p>
        </w:tc>
      </w:tr>
      <w:tr>
        <w:trPr>
          <w:trHeight w:val="210"/>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(1)</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w:t>
            </w:r>
          </w:p>
        </w:tc>
      </w:tr>
      <w:tr>
        <w:trPr>
          <w:trHeight w:val="210"/>
        </w:trPr>
        <w:tc>
          <w:tcPr>
            <w:tcW w:w="7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84,680</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62,796</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40,625</w:t>
            </w:r>
          </w:p>
        </w:tc>
      </w:tr>
    </w:tbl>
    <w:p>
      <w:pPr>
        <w:spacing w:after="0" w:line="5" w:lineRule="exact"/>
        <w:rPr>
          <w:sz w:val="20"/>
          <w:szCs w:val="20"/>
          <w:color w:val="auto"/>
        </w:rPr>
      </w:pPr>
    </w:p>
    <w:p>
      <w:pPr>
        <w:ind w:left="360" w:right="220" w:hanging="325"/>
        <w:spacing w:after="0" w:line="258"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January 31, 2018, 2017 and 2016, Other consisted of non-income based taxes of $439, $358 and $334, acquisition-related costs of $2,197, $631 and $471, and other costs of $53, $359 and $105,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Year ended January 31,</w:t>
            </w:r>
          </w:p>
        </w:tc>
        <w:tc>
          <w:tcPr>
            <w:tcW w:w="1620" w:type="dxa"/>
            <w:vAlign w:val="bottom"/>
          </w:tcPr>
          <w:p>
            <w:pPr>
              <w:jc w:val="right"/>
              <w:ind w:right="288"/>
              <w:spacing w:after="0"/>
              <w:rPr>
                <w:sz w:val="20"/>
                <w:szCs w:val="20"/>
                <w:color w:val="auto"/>
              </w:rPr>
            </w:pPr>
            <w:r>
              <w:rPr>
                <w:rFonts w:ascii="Arial" w:cs="Arial" w:eastAsia="Arial" w:hAnsi="Arial"/>
                <w:sz w:val="14"/>
                <w:szCs w:val="14"/>
                <w:b w:val="1"/>
                <w:bCs w:val="1"/>
                <w:color w:val="auto"/>
              </w:rPr>
              <w:t>% change from</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 to 2018</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 to 2017</w:t>
            </w:r>
          </w:p>
        </w:tc>
      </w:tr>
      <w:tr>
        <w:trPr>
          <w:trHeight w:val="216"/>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84,680</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62,796</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40,625</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a percentage of revenue</w:t>
            </w: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w:t>
            </w: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Adjusted EBITDA increased by $21.9 million, or 35%, from $62.8 million for the year ended January 31, 2017 to $84.7 million for the year ended January 31, 2018. The increase in Adjusted EBITDA was driven by the overall growth of our business, including a $13.2 million, or 32%, increase in income from operations.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Adjusted EBITDA increased by $22.2 million, or 55%, from $40.6 million for the year ended January 31, 2016 to $62.8 million for the year ended January 31, 2017. The increase in Adjusted EBITDA was driven by the overall growth of our business, including a $15.1 million, or 58%, increase in income from operations.</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 ended January 31,</w:t>
            </w:r>
          </w:p>
        </w:tc>
        <w:tc>
          <w:tcPr>
            <w:tcW w:w="1820" w:type="dxa"/>
            <w:vAlign w:val="bottom"/>
          </w:tcPr>
          <w:p>
            <w:pPr>
              <w:jc w:val="right"/>
              <w:ind w:right="288"/>
              <w:spacing w:after="0"/>
              <w:rPr>
                <w:sz w:val="20"/>
                <w:szCs w:val="20"/>
                <w:color w:val="auto"/>
              </w:rPr>
            </w:pPr>
            <w:r>
              <w:rPr>
                <w:rFonts w:ascii="Arial" w:cs="Arial" w:eastAsia="Arial" w:hAnsi="Arial"/>
                <w:sz w:val="14"/>
                <w:szCs w:val="14"/>
                <w:b w:val="1"/>
                <w:bCs w:val="1"/>
                <w:color w:val="auto"/>
              </w:rPr>
              <w:t>% change from</w:t>
            </w: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 to 2018</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 to 2017</w:t>
            </w:r>
          </w:p>
        </w:tc>
      </w:tr>
      <w:tr>
        <w:trPr>
          <w:trHeight w:val="216"/>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revenue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61,608</w:t>
            </w:r>
          </w:p>
        </w:tc>
        <w:tc>
          <w:tcPr>
            <w:tcW w:w="1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10"/>
        </w:trPr>
        <w:tc>
          <w:tcPr>
            <w:tcW w:w="4200" w:type="dxa"/>
            <w:vAlign w:val="bottom"/>
          </w:tcPr>
          <w:p>
            <w:pPr>
              <w:ind w:left="40"/>
              <w:spacing w:after="0"/>
              <w:rPr>
                <w:sz w:val="20"/>
                <w:szCs w:val="20"/>
                <w:color w:val="auto"/>
              </w:rPr>
            </w:pPr>
            <w:r>
              <w:rPr>
                <w:rFonts w:ascii="Arial" w:cs="Arial" w:eastAsia="Arial" w:hAnsi="Arial"/>
                <w:sz w:val="14"/>
                <w:szCs w:val="14"/>
                <w:color w:val="auto"/>
              </w:rPr>
              <w:t>Custodial revenue</w:t>
            </w:r>
          </w:p>
        </w:tc>
        <w:tc>
          <w:tcPr>
            <w:tcW w:w="3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37,755</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46%</w:t>
            </w:r>
          </w:p>
        </w:tc>
        <w:tc>
          <w:tcPr>
            <w:tcW w:w="14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22"/>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Interchange revenue</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27,423</w:t>
            </w:r>
          </w:p>
        </w:tc>
        <w:tc>
          <w:tcPr>
            <w:tcW w:w="1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4"/>
        </w:trPr>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revenue</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178,370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126,786</w:t>
            </w:r>
          </w:p>
        </w:tc>
        <w:tc>
          <w:tcPr>
            <w:tcW w:w="1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earn revenue from three primary sources: service revenue, custodial revenue and interchange revenue.</w:t>
      </w:r>
    </w:p>
    <w:p>
      <w:pPr>
        <w:spacing w:after="0" w:line="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from the fees we charge our Network Partners, employer clients and individual members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services we provide in connection with the HSAs and RAs we offer. With respect to our Network Partners, our fees are generally based on a fixed tiered structure for the duration of our agreement with the relevant Network Partner and are paid to us on a monthly basis. We recognize revenue on a monthly basis as services are rendered under our written service agreements.</w:t>
      </w:r>
    </w:p>
    <w:p>
      <w:pPr>
        <w:spacing w:after="0" w:line="7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Custodial revenue. </w:t>
      </w:r>
      <w:r>
        <w:rPr>
          <w:rFonts w:ascii="Arial" w:cs="Arial" w:eastAsia="Arial" w:hAnsi="Arial"/>
          <w:sz w:val="17"/>
          <w:szCs w:val="17"/>
          <w:color w:val="auto"/>
        </w:rPr>
        <w:t>We earn custodial revenue from our custodial cash assets deposited with our FDIC-insured custodial depository bank</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and with our insurance company partner, and recordkeeping fees we earn in respect of mutual funds in which our members invest. As a non-bank custodian, we deposit our custodial cash with our various bank partners pursuant to contracts that (i) have terms up to five years,</w:t>
      </w:r>
    </w:p>
    <w:p>
      <w:pPr>
        <w:spacing w:after="0" w:line="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fixed or variable interest rate payable on the average daily cash balances deposited with the relevant bank partner, and</w:t>
      </w:r>
    </w:p>
    <w:p>
      <w:pPr>
        <w:spacing w:after="0" w:line="9" w:lineRule="exact"/>
        <w:rPr>
          <w:rFonts w:ascii="Arial" w:cs="Arial" w:eastAsia="Arial" w:hAnsi="Arial"/>
          <w:sz w:val="18"/>
          <w:szCs w:val="18"/>
          <w:color w:val="auto"/>
        </w:rPr>
      </w:pPr>
    </w:p>
    <w:p>
      <w:pPr>
        <w:ind w:right="80" w:firstLine="8"/>
        <w:spacing w:after="0" w:line="254" w:lineRule="auto"/>
        <w:tabs>
          <w:tab w:leader="none" w:pos="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minimum and maximum required deposit balances. We earn custodial revenue on our custodial cash that is based on the interest rates offered to us by these bank partners. In addition, once a member’s HSA cash balance reaches a certain threshold, the member is able to invest his or her HSA assets in mutual funds through our custodial investment partner. We receive a recordkeeping fee related to such custodial investments.</w:t>
      </w:r>
    </w:p>
    <w:p>
      <w:pPr>
        <w:spacing w:after="0" w:line="78" w:lineRule="exact"/>
        <w:rPr>
          <w:sz w:val="20"/>
          <w:szCs w:val="20"/>
          <w:color w:val="auto"/>
        </w:rPr>
      </w:pPr>
    </w:p>
    <w:p>
      <w:pPr>
        <w:jc w:val="both"/>
        <w:ind w:right="56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payment cards to make a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This revenue is collected each time a member “swipes” our payment card to pay a healthcare-related expense. We recognize interchange revenue monthly based on reports received from third parties, namely, the card-issuing bank and the card processor.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includes costs related to servicing member accounts, managing customer and partner relationships and processing reimbursement claims. Expenditures include personnel-related costs, depreciation, amortization, stock-based compensation, common expense allocations (such as office rent, supplies, and other overhead expenses), new member and participant supplies, and other operating costs related to servicing our members. Other components of cost of revenue include interest retained by members on custodial cash and interchange costs incurred in connection with processing card transactions for our members.</w:t>
      </w:r>
    </w:p>
    <w:p>
      <w:pPr>
        <w:spacing w:after="0" w:line="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include the servicing costs described above. Additionally, for new accounts, we incur on-boarding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new accounts, such as new member welcome kits, the cost associated with issuance of new payment cards and costs of marketing materials that we produce for our Network Partners.</w:t>
      </w:r>
    </w:p>
    <w:p>
      <w:pPr>
        <w:spacing w:after="0" w:line="68"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retained by our HSA Members and fees we pay to banking consultants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use to help secure agreements with our FDIC-insured custodial depository banking partners. Interest retained by HSA Members is calculated on a tiered basis. The interest rates retained by HSA Members can change based on a formula or upon required notice.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are comprised of costs we incur in connection with processing payment transactions initiated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Due to the substantiation requirement on RA-linked payment card transactions, which is the requirement that we confirm each purchase involves a qualified medical expense as defined under applicable law, payment card costs are higher for RA card transactions. In addition to fixed per card fees, we are assessed additional transaction costs determined by the amount of the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gross profit is our total revenue minus our total cost of revenue, and our gross margin is our gross profit expressed as a percentage of our total revenue. Our gross margin has been and will continue to be affected by a number of factors, including the amount we charge our partners and members, interest rates, how many services we deliver per account, and payment processing costs per account. We expect our annual gross margin to remain relatively steady over the near term, although our gross margin could fluctuate from period to period depending on the interplay of these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allocations.</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and product development.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executive, finance, legal, compliance, and people departments. They also include depreciation, amortization, stock-based compensation and common expense allocations.</w:t>
      </w:r>
    </w:p>
    <w:p>
      <w:pPr>
        <w:spacing w:after="0" w:line="6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primarily from our acquisition of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assets. We acquired these intangible member assets from third-party custodians. We amortize these assets over the assets’ estimated useful life of 15 years. We also acquired other intangible assets, which are 401(k) customer relationships, in connection with an acquisition of a business. We amortize these assets over the assets' estimated useful life of 10 years. We evaluate our acquired intangible assets for impairment at least each year, or at a triggering event.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primarily consists of interest expense associated with our credit facility, miscellaneous taxes, and acquisition-related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federal and state income taxes in the United States based on a calendar tax year which differs from our fiscal year-end for financial reporting purposes.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As of January 31, 2018, we recorded a net non-current deferred tax asset.</w:t>
      </w:r>
    </w:p>
    <w:p>
      <w:pPr>
        <w:spacing w:after="0" w:line="9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Valuation allowances are established when necessary to reduce net deferred tax assets to the amount expected to be realized. Due to the positive evidence of historical profits coupled with forecasted profitability, no valuation allowance was required as of January 31, 2018.</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0"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$14.4 million, or 19%, increase in service revenue from the year ended January 31, 2017 to the year ended January 31, 2018 was primarily due to an increase in the number of our HSA Members, partially offset by the lower service revenue per HSA Member described below. The $15.6 million, or 25%, increase in service revenue from the year ended January 31, 2016 to the year ended January 31, 2017 was also primarily due to an increase in the number of our HSA Members. The number of our HSA Members increased by approximately 657,000, or 24%, from January 31, 2017 to January 31, 2018, and by approximately 606,000, or 28%, from January 31, 2016 to January 31, 2017.</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Service revenue per HSA Member decreased by approximately 6% from the year ended January 31, 2017 to the year ended January 31, 2018, and 14% from the year ended January 31, 2016 to the year ended January 31, 2017. Our service revenue tier structure incentivizes Network Partners to add HSA Members by charging a lower rate as additional HSA Members are added. Accordingly, as Network Partners add more HSA Members, the service revenue per HSA Member will continue to decrease. Additionally, as RAs grow less rapidly than HSAs, service revenue per HSA Member will decrease. The decrease in service revenue per HSA Member was partially offset by an increase in custodial revenue per HSA Member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revenue</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$27.6 million, or 46%, increase in custodial revenue from the year ended January 31, 2017 to the year ended January 31, 2018 was primarily due to an increase in average daily custodial cash of $ 910.3 million, or 25%, and an increase in the yield on average custodial cash from 1.58% in the year ended January 31, 2017 to 1.83% in the year ended January 31, 2018.</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$21.8 million, or 58%, increase in custodial revenue from the year ended January 31, 2016 to the year ended January 31, 2017 was primarily due to an increase in average daily custodial cash of $1.3 billion, or 57%, as well as a slight increase in the yield on average custodial cash from 1.57% in the year ended January 31, 2016 to 1.58% in the year ended January 31, 2017.</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Custodial revenue as a percentage of our total revenue continues to increase primarily due to our entry into new custodial depository agreements with higher interest rates payable on average cash balances deposited thereunder, and also due to average daily custodial cash assets growing at a faster rate than the number of HSA Members, which is evidenced by an increase in custodial cash per HSA, which was $1,613, $1,595, and $1,532 as of January 31, 2018, 2017 and 2016, respectively.</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Custodial revenue per HSA Member increased by approximately 16% from the year ended January 31, 2017 to the year ended January 31, 2018, and approximately 8% from the year ended January 31, 2016 to the year ended January 31, 2017, primarily due to the higher yield and higher average custodial cash balances.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revenue</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$9.2 million, or 22%, increase in interchange revenue from the year ended January 31, 2017 to the year ended January 31, 2018 was due to an overall increase in the number of our HSA Members and payment activity, partially offset by the lower interchange revenue per HSA Member described below. In addition, we continued to see a trend toward more HSA spending through payment card transaction swipes and less by checks and ACH or electronic reimbursements, which increased our interchange revenue.</w:t>
      </w:r>
    </w:p>
    <w:p>
      <w:pPr>
        <w:spacing w:after="0" w:line="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$14.1 million, or 51%, increase in interchange revenue from the year ended January 31, 2016 to the year ended January 31, 2017 was due to an overall increase in the number of our HSA Members and payment activity.</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Interchange revenue per HSA Member decreased by approximately 3% from the year ended January 31, 2017 to the year ended January 31, 2018, primarily due to a decrease in payment activity per HSA Member. Interchange revenue per HSA Member increased by approximately 4% from the year ended January 31, 2016 to the year ended January 31, 2017, as a result of our efforts increase card spend on our platform.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Total revenue per HSA Member increased by 2% from the year ended January 31, 2017 to the year ended January 31, 2018, due to the increase in custodial revenue per HSA Member, largely offset by the decreases in service revenue and interchange revenue per HSA Member. Total revenue per HSA Member decreased by 4% from the year ended January 31, 2016 to the year ended January 31, 2017, due to decreases in service revenue per HSA Member partially offset by increases in custodial and interchange revenue per HSA 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294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c>
          <w:tcPr>
            <w:tcW w:w="200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 from</w:t>
            </w:r>
          </w:p>
        </w:tc>
        <w:tc>
          <w:tcPr>
            <w:tcW w:w="150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 to 2018</w:t>
            </w: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 to 2017</w:t>
            </w: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70,426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39,418</w:t>
            </w:r>
          </w:p>
        </w:tc>
        <w:tc>
          <w:tcPr>
            <w:tcW w:w="2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36%</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10"/>
        </w:trPr>
        <w:tc>
          <w:tcPr>
            <w:tcW w:w="3640" w:type="dxa"/>
            <w:vAlign w:val="bottom"/>
          </w:tcPr>
          <w:p>
            <w:pPr>
              <w:ind w:left="40"/>
              <w:spacing w:after="0"/>
              <w:rPr>
                <w:sz w:val="20"/>
                <w:szCs w:val="20"/>
                <w:color w:val="auto"/>
              </w:rPr>
            </w:pPr>
            <w:r>
              <w:rPr>
                <w:rFonts w:ascii="Arial" w:cs="Arial" w:eastAsia="Arial" w:hAnsi="Arial"/>
                <w:sz w:val="14"/>
                <w:szCs w:val="14"/>
                <w:color w:val="auto"/>
              </w:rPr>
              <w:t>Custodial costs</w:t>
            </w:r>
          </w:p>
        </w:tc>
        <w:tc>
          <w:tcPr>
            <w:tcW w:w="4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6,522</w:t>
            </w:r>
          </w:p>
        </w:tc>
        <w:tc>
          <w:tcPr>
            <w:tcW w:w="2000" w:type="dxa"/>
            <w:vAlign w:val="bottom"/>
          </w:tcPr>
          <w:p>
            <w:pPr>
              <w:jc w:val="right"/>
              <w:ind w:right="208"/>
              <w:spacing w:after="0"/>
              <w:rPr>
                <w:sz w:val="20"/>
                <w:szCs w:val="20"/>
                <w:color w:val="auto"/>
              </w:rPr>
            </w:pPr>
            <w:r>
              <w:rPr>
                <w:rFonts w:ascii="Arial" w:cs="Arial" w:eastAsia="Arial" w:hAnsi="Arial"/>
                <w:sz w:val="14"/>
                <w:szCs w:val="14"/>
                <w:color w:val="auto"/>
              </w:rPr>
              <w:t>17%</w:t>
            </w:r>
          </w:p>
        </w:tc>
        <w:tc>
          <w:tcPr>
            <w:tcW w:w="15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22"/>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Interchange costs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8,248</w:t>
            </w:r>
          </w:p>
        </w:tc>
        <w:tc>
          <w:tcPr>
            <w:tcW w:w="2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23%</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4"/>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cost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94,609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72,015</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54,188</w:t>
            </w:r>
          </w:p>
        </w:tc>
        <w:tc>
          <w:tcPr>
            <w:tcW w:w="2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costs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$18.6 million, or 36%, increase in service costs from the year ended January 31, 2017 to the year ended January 31, 2018 was due to the higher volume of total accounts being serviced</w:t>
      </w:r>
      <w:r>
        <w:rPr>
          <w:rFonts w:ascii="Arial" w:cs="Arial" w:eastAsia="Arial" w:hAnsi="Arial"/>
          <w:sz w:val="18"/>
          <w:szCs w:val="18"/>
          <w:b w:val="1"/>
          <w:bCs w:val="1"/>
          <w:color w:val="auto"/>
        </w:rPr>
        <w:t>.</w:t>
      </w:r>
      <w:r>
        <w:rPr>
          <w:rFonts w:ascii="Arial" w:cs="Arial" w:eastAsia="Arial" w:hAnsi="Arial"/>
          <w:sz w:val="18"/>
          <w:szCs w:val="18"/>
          <w:color w:val="auto"/>
        </w:rPr>
        <w:t xml:space="preserve"> The $18.6 million increase includes $11.0 million related to the hiring of additional personnel to implement and support our new Network Partners and HSA Members, increased activation and processing costs of $4.4 million related to account and card activation, monthly processing of statements and other communications, as well as fraud prevention measures, stock compensation of $814,000, depreciation and amortization of $614,000, general overhead allocation of $748,000 and $1.2 million in other expenses.</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$12.5 million, or 32%, increase in service costs from the year ended January 31, 2016 to the year ended January 31, 2017 was due to the higher volume of total accounts being serviced</w:t>
      </w:r>
      <w:r>
        <w:rPr>
          <w:rFonts w:ascii="Arial" w:cs="Arial" w:eastAsia="Arial" w:hAnsi="Arial"/>
          <w:sz w:val="18"/>
          <w:szCs w:val="18"/>
          <w:b w:val="1"/>
          <w:bCs w:val="1"/>
          <w:color w:val="auto"/>
        </w:rPr>
        <w:t>.</w:t>
      </w:r>
      <w:r>
        <w:rPr>
          <w:rFonts w:ascii="Arial" w:cs="Arial" w:eastAsia="Arial" w:hAnsi="Arial"/>
          <w:sz w:val="18"/>
          <w:szCs w:val="18"/>
          <w:color w:val="auto"/>
        </w:rPr>
        <w:t xml:space="preserve"> The $12.5 million increase includes $6.1 million related to the hiring of additional personnel to implement and support our new Network Partners and HSA Members, increased activation and processing costs of $2.9 million related to account and card activation as well as monthly processing of statements and other communications, stock compensation of $692,000, depreciation and amortization of $495,000, general overhead allocation of $1.6 million and $393,000 in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costs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$1.6 million, or 17%, increase in custodial costs from the year ended January 31, 2017 to the year ended January 31, 2018 was due to an increase in average daily custodial cash from $ 3.66 billion for the year ended January 31, 2017 to $4.57 billion during the year ended January 31, 2018, which was partially offset by a decrease in custodial costs on average custodial cash from 0.27% for the year ended January 31, 2017 to 0.25% for the year ended January 31, 2018.</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$3.2 million, or 50%, increase in custodial costs from the year ended January 31, 2016 to the year ended January 31, 2017 was due to an increase in average daily custodial cash from $ 2.33 billion for the year ended January 31, 2016 to $3.64 billion during the year ended January 31, 2017, which was partially offset by a decrease in custodial costs on average custodial cash from 0.28% for the year ended January 31, 2016 to 0.27% for the year ended January 31,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costs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$2.4 million, or 23%, increase in interchange costs from the year ended January 31, 2017 to the year ended January 31, 2018, and the $2.1 million, or 26%, increase from the year ended January 31, 2016 to the year ended January 31, 2017, was a result of the overall increase in payment activity, which is attributable to the growth in HSA Members.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we continue to add HSA Members, we expect that our cost of revenue will increase in dollar amount to support our Network Partners and members. Cost of revenue will continue to be affected by a number of different factors, including our ability to implement new technology in our Member Education Center as well as scaling our Network Partner implementation and account management functions.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 ended January 31,</w:t>
            </w:r>
          </w:p>
        </w:tc>
        <w:tc>
          <w:tcPr>
            <w:tcW w:w="200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 from</w:t>
            </w: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2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 to 2018</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 to 2017</w:t>
            </w:r>
          </w:p>
        </w:tc>
      </w:tr>
      <w:tr>
        <w:trPr>
          <w:trHeight w:val="21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13,302</w:t>
            </w:r>
          </w:p>
        </w:tc>
        <w:tc>
          <w:tcPr>
            <w:tcW w:w="20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26%</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10"/>
        </w:trPr>
        <w:tc>
          <w:tcPr>
            <w:tcW w:w="4000" w:type="dxa"/>
            <w:vAlign w:val="bottom"/>
          </w:tcPr>
          <w:p>
            <w:pPr>
              <w:ind w:left="40"/>
              <w:spacing w:after="0"/>
              <w:rPr>
                <w:sz w:val="20"/>
                <w:szCs w:val="20"/>
                <w:color w:val="auto"/>
              </w:rPr>
            </w:pPr>
            <w:r>
              <w:rPr>
                <w:rFonts w:ascii="Arial" w:cs="Arial" w:eastAsia="Arial" w:hAnsi="Arial"/>
                <w:sz w:val="14"/>
                <w:szCs w:val="14"/>
                <w:color w:val="auto"/>
              </w:rPr>
              <w:t>Technology and development</w:t>
            </w:r>
          </w:p>
        </w:tc>
        <w:tc>
          <w:tcPr>
            <w:tcW w:w="4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27,385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22,375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16,832</w:t>
            </w:r>
          </w:p>
        </w:tc>
        <w:tc>
          <w:tcPr>
            <w:tcW w:w="2000" w:type="dxa"/>
            <w:vAlign w:val="bottom"/>
          </w:tcPr>
          <w:p>
            <w:pPr>
              <w:jc w:val="right"/>
              <w:ind w:right="228"/>
              <w:spacing w:after="0"/>
              <w:rPr>
                <w:sz w:val="20"/>
                <w:szCs w:val="20"/>
                <w:color w:val="auto"/>
              </w:rPr>
            </w:pPr>
            <w:r>
              <w:rPr>
                <w:rFonts w:ascii="Arial" w:cs="Arial" w:eastAsia="Arial" w:hAnsi="Arial"/>
                <w:sz w:val="14"/>
                <w:szCs w:val="14"/>
                <w:color w:val="auto"/>
              </w:rPr>
              <w:t>22%</w:t>
            </w:r>
          </w:p>
        </w:tc>
        <w:tc>
          <w:tcPr>
            <w:tcW w:w="14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22"/>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14,113</w:t>
            </w:r>
          </w:p>
        </w:tc>
        <w:tc>
          <w:tcPr>
            <w:tcW w:w="20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25%</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1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acquired intangible assets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2,208</w:t>
            </w:r>
          </w:p>
        </w:tc>
        <w:tc>
          <w:tcPr>
            <w:tcW w:w="2000" w:type="dxa"/>
            <w:vAlign w:val="bottom"/>
            <w:tcBorders>
              <w:bottom w:val="single" w:sz="8" w:color="CCEEFF"/>
            </w:tcBorders>
          </w:tcPr>
          <w:p>
            <w:pPr>
              <w:jc w:val="right"/>
              <w:ind w:right="228"/>
              <w:spacing w:after="0"/>
              <w:rPr>
                <w:sz w:val="20"/>
                <w:szCs w:val="20"/>
                <w:color w:val="auto"/>
              </w:rPr>
            </w:pPr>
            <w:r>
              <w:rPr>
                <w:rFonts w:ascii="Arial" w:cs="Arial" w:eastAsia="Arial" w:hAnsi="Arial"/>
                <w:sz w:val="14"/>
                <w:szCs w:val="14"/>
                <w:color w:val="auto"/>
              </w:rPr>
              <w:t>13%</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95%</w:t>
            </w:r>
          </w:p>
        </w:tc>
      </w:tr>
      <w:tr>
        <w:trPr>
          <w:trHeight w:val="21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80,498</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65,143</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46,455</w:t>
            </w:r>
          </w:p>
        </w:tc>
        <w:tc>
          <w:tcPr>
            <w:tcW w:w="20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$4.9 million, or 26%, increase in sales and marketing expenses from the year ended January 31, 2017 to the year ended January 31, 2018 primarily consisted of increased staffing and sales commissions of $2.7 million, increased stock-based compensation expense of $1.1 million, increased partner commissions of $345,000, and an increase in other expenses of $703,000.</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$5.0 million, or 38%, increase in sales and marketing expenses from the year ended January 31, 2016 to the year ended January 31, 2017 primarily consisted of increased staffing and sales commissions of $2.3 million, increased partner commissions of $928,000, increased travel and marketing expenses of $862,000, increased promotion discounts of $418,000, and an increase in other expenses of $502,000.</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expect our sales and marketing expenses to increase for the foreseeable future as we continue to increase the size of our sales and marketing organization and expand into new markets. On an annual basis, we expect our sales and marketing expenses to remain steady as a percentage of our total revenue over the near term. However, our sales and marketing expenses may fluctuate as a percentage of our total revenue from period to period due to the seasonality of our total revenue and the timing and extent of our sales and marketing expenses.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we expect the adoption of the new revenue standard to have a material impact on total sales and marketing expenses. We expect to capitalize incremental contract acquisition costs, such as sales commissions included in sales and marketing expenses in the consolidated statement of operations, and amortize these costs over the average economic life of an HSA Member. The Company's current practice is to fully expense sales commissions when the member is added to the Company's platform.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$5.0 million, or 22%, increase in technology and development expenses from the year ended January 31, 2017 to the year ended January 31, 2018 resulted primarily from the hiring of additional personnel of $4.4 million, increased amortization and depreciation of $1.6 million, stock compensation of $1.4 million, and other expenses of $81,000, which were partially offset by a decrease in professional services of $2.0 million and an increase in capitalized engineering costs of $341,000 associated with the development and enhancement of our proprietary technology platform.</w:t>
      </w:r>
    </w:p>
    <w:p>
      <w:pPr>
        <w:spacing w:after="0" w:line="9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$5.5 million, or 33%, increase in technology and development expenses for the year ended January 31, 2016 to the year ended January 31, 2017 resulted primarily from the hiring of additional personnel of $3.4 million, increased amortization and depreciation of $1.9 million, information technology expenses of $1.1 million, stock compensation of $889,000, professional services of $726,000, and other expenses of $ 548,000, which were offset by an increase in capitalized engineering costs of $2.1 million associated with the development and enhancement of our proprietary technology platform, and redeployment of resources from technology and development to general and administrative of $855,000.</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of our proprietary system. On an annual basis, we expect our technology and development expenses to increase as a percentage of our total revenue. Our technology and development expenses may fluctuate as a percentage of our total revenue from period to period due to the seasonality of our total revenue and the timing and extent of our technology and development expenses.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9"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color w:val="auto"/>
        </w:rPr>
        <w:t>The $5.0 million, or 25%, increase in general and administrative expenses from the year ended January 31, 2017 to the year ended January 31, 2018 was primarily attributable to the hiring of additional personnel of $3.3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increased stock compensation of $2.6 million and other expenses of $1.1 million, which were offset by a decrease in professional services of $2.0 million.</w:t>
      </w:r>
    </w:p>
    <w:p>
      <w:pPr>
        <w:spacing w:after="0" w:line="88"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$6.0 million, or 43%, increase in general and administrative expenses from the year ended January 31, 2016 to the year ended January 31, 2017 was primarily attributable to the hiring of additional personnel of $2.4 million, increased professional fees of $1.1 million, stock compensation of $922,000 and other expenses of $814,000, and redeployment of resources from technology and development to general and administrative of $855,000.</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demands on our legal, compliance, accounting, insurance, and investor relations functions that we continue to incur as a public company, as well as other costs associated with continuing to grow our business. On an annual basis, we expect our general and administrative expenses to remain steady as a percentage of our total revenue. Our general and administrative expenses may fluctuate as a percentage of our total revenue from period to period due to the seasonality of our total revenue and the timing and extent of our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139"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The $566,000 and $2.1 million increase in amortization of acquired intangible assets for the years ended January 31, 2018 and 2017, respectively, was attributable to the HSA portfolio asset acquisitions and acquisition of a business. On an annual basis, we expect total amortization of acquired intangible assets to remain steady.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39"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change in other income and expense, net for the year ended January 31, 2018 is primarily attributable to an increase in ongoing acquisition-related activity costs.</w:t>
      </w:r>
    </w:p>
    <w:p>
      <w:pPr>
        <w:spacing w:after="0" w:line="88"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change in other income and expense, net for the year ended January 31, 2017 is primarily attributable to an increase in ongoing acquisition-related activity costs and interest expense.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Income tax provision for the years ended January 31, 2018, 2017, and 2016 was $4.8 million, $13.7 million, and $8.9 million, respectively. The decrease in income tax provision during the year ended January 31, 2018 compared to the year ended January 31, 2017 was primarily the result of a $14.1 million decrease related to excess tax benefits on stock-based compensation expense recognized in the provision for income taxes, pursuant to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 well as an increase in federal and state income taxes driven by an increase in income before income taxes netted with a decrease. The increase in income tax provision during the year ended January 31, 2017 compared to the year ended January 31, 2016 was primarily the result of an increase in federal and state income taxes driven by an increase in income before income taxes netted with an increase in research and development credits claimed.</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effective income tax rate for the years ended January 31, 2018, 2017 and 2016 was 9.2%, 34.3%, and 35.0%,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decrease in the effective tax rate for the year ended January 31, 2018 compared to the year ended January 31, 2017 was primarily the result of excess tax benefits on stock-based compensation expense. The decrease in the effective tax rate for the year ended January 31, 2017 compared to the year ended January 31, 2016 was primarily the result of an increase in research and development credits.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Tax Cuts and Jobs Act, which was enacted on December 22, 2017, reduced the statutory federal income tax rate from a top rate of 35% to 21% effective January 1, 2018. Refer to Note 8. Income Taxes, within the notes to the consolidated financial statements for further discussion of the impact of this tax reform on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A significant number of new and existing Network Partners bring us new HSA Members beginning in January of each year concurrent with the start of many employers’ benefit plan years. Before we realize any revenue from these new HSA Members, we incur costs related to implementing and supporting our new Network Partners and new HSA Members. These costs of services relate to activating accounts and hiring additional staff, including seasonal help to support our member support center. These expenses begin to ramp up during our third fiscal quarter with the majority of expenses incurred in our fourth fiscal quarter.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also experience higher operating expenses in our fourth fiscal quarter due to sales commissions for new accounts activated in January. Beginning in the year ended January 31, 2019, the Company will adopt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 result of this adoption, the Company will capitalize incremental contract acquisition costs, such as sales commissions, and amortize these costs over the average economic life of a member.</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overview</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January 31, 2018, our principal source of liquidity was our current cash and marketable securities balances, collections from our service, custodial and interchange revenue activities, and availability under our credit facility. We rely on cash provided by operating activities to meet our short-term liquidity requirements, which primarily relate to the payment of corporate payroll and other operating costs, and capital expenditures.</w:t>
      </w:r>
    </w:p>
    <w:p>
      <w:pPr>
        <w:spacing w:after="0" w:line="96" w:lineRule="exact"/>
        <w:rPr>
          <w:sz w:val="20"/>
          <w:szCs w:val="20"/>
          <w:color w:val="auto"/>
        </w:rPr>
      </w:pPr>
    </w:p>
    <w:p>
      <w:pPr>
        <w:ind w:right="540"/>
        <w:spacing w:after="0" w:line="375" w:lineRule="auto"/>
        <w:rPr>
          <w:sz w:val="20"/>
          <w:szCs w:val="20"/>
          <w:color w:val="auto"/>
        </w:rPr>
      </w:pPr>
      <w:r>
        <w:rPr>
          <w:rFonts w:ascii="Arial" w:cs="Arial" w:eastAsia="Arial" w:hAnsi="Arial"/>
          <w:sz w:val="18"/>
          <w:szCs w:val="18"/>
          <w:color w:val="auto"/>
        </w:rPr>
        <w:t xml:space="preserve">As of January 31, 2018 and 2017, cash, cash equivalents and marketable securities were $240.3 million and $180.4 million, respectively. </w:t>
      </w:r>
      <w:r>
        <w:rPr>
          <w:rFonts w:ascii="Arial" w:cs="Arial" w:eastAsia="Arial" w:hAnsi="Arial"/>
          <w:sz w:val="18"/>
          <w:szCs w:val="18"/>
          <w:b w:val="1"/>
          <w:bCs w:val="1"/>
          <w:i w:val="1"/>
          <w:iCs w:val="1"/>
          <w:color w:val="auto"/>
        </w:rPr>
        <w:t>Capital resources</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a result of our follow-on offering in May 2015, we received net proceeds of approximately $23.5 million from the sale of 972,500 shares of our common stock.</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September 9, 2015, we filed a shelf registration statement on Form S-3 with the SEC. This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and capital expenditures,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9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September 30, 2015, we entered into a $100.0 million credit facility. The credit facility has a term of five years. The new credit facility contains covenants and events of default customary for facilities of this type. There were no borrowings under the facility as of January 31, 2018. We were in compliance with all covenants as of January 31,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Capital expenditures for the years ended January 31, 2018, 2017, and 2016 were $15.8 million, $12.7 million, and $9.3 million, respectively. We expect to continue our increased capital expenditures during the year ending January 31, 2019 as we continue to devote a significant amount of our capital expenditures to improving the architecture and functionality of our proprietary system. Costs to improve the architecture of our proprietary system include software engineering services, computer hardware, and personnel and related costs for software engineering.</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believe our existing cash, cash equivalents and marketable securities,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1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81,702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26,541</w:t>
            </w:r>
          </w:p>
        </w:tc>
      </w:tr>
      <w:tr>
        <w:trPr>
          <w:trHeight w:val="210"/>
        </w:trPr>
        <w:tc>
          <w:tcPr>
            <w:tcW w:w="71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(36,748)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(90,552)</w:t>
            </w:r>
          </w:p>
        </w:tc>
      </w:tr>
      <w:tr>
        <w:trPr>
          <w:trHeight w:val="222"/>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14,564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36,647</w:t>
            </w:r>
          </w:p>
        </w:tc>
      </w:tr>
      <w:tr>
        <w:trPr>
          <w:trHeight w:val="204"/>
        </w:trPr>
        <w:tc>
          <w:tcPr>
            <w:tcW w:w="7100" w:type="dxa"/>
            <w:vAlign w:val="bottom"/>
          </w:tcPr>
          <w:p>
            <w:pPr>
              <w:ind w:left="180"/>
              <w:spacing w:after="0"/>
              <w:rPr>
                <w:sz w:val="20"/>
                <w:szCs w:val="20"/>
                <w:color w:val="auto"/>
              </w:rPr>
            </w:pPr>
            <w:r>
              <w:rPr>
                <w:rFonts w:ascii="Arial" w:cs="Arial" w:eastAsia="Arial" w:hAnsi="Arial"/>
                <w:sz w:val="14"/>
                <w:szCs w:val="14"/>
                <w:color w:val="auto"/>
              </w:rPr>
              <w:t>Increase (decrease) in cash and cash equivalents</w:t>
            </w:r>
          </w:p>
        </w:tc>
        <w:tc>
          <w:tcPr>
            <w:tcW w:w="4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59,518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56,313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(27,364)</w:t>
            </w:r>
          </w:p>
        </w:tc>
      </w:tr>
      <w:tr>
        <w:trPr>
          <w:trHeight w:val="222"/>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cash and cash equivalents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139,954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111,005</w:t>
            </w:r>
          </w:p>
        </w:tc>
      </w:tr>
      <w:tr>
        <w:trPr>
          <w:trHeight w:val="204"/>
        </w:trPr>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Ending cash and cash equivalents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199,472</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139,954</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83,641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Cash flows provided by operating activities. </w:t>
      </w:r>
      <w:r>
        <w:rPr>
          <w:rFonts w:ascii="Arial" w:cs="Arial" w:eastAsia="Arial" w:hAnsi="Arial"/>
          <w:sz w:val="18"/>
          <w:szCs w:val="18"/>
          <w:color w:val="auto"/>
        </w:rPr>
        <w:t>Net cash provided by operating activities during the year ended January 31, 2018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our net income of $47.4 million adjusted for the following non-cash items: depreciation and amortization of $16.0 million and stock-based compensation of $14.3 million, and changes in deferred taxes of $4.3 million, accrued compensation of $3.8 million, other long-term liabilities of $939,000, and amortization of deferred financing costs, bad debt expense, changes in inventories and accrued liabilities and other totaling $1.1 million. These were offset by changes in accounts receivable of $4.7 million and other assets and accounts payable of $1.3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during the year ended January 31, 2017 resulted primarily from our net income of $26.4</w:t>
      </w:r>
    </w:p>
    <w:p>
      <w:pPr>
        <w:spacing w:after="0" w:line="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million adjusted for the following non-cash items: depreciation and amortization of $13.2 million and stock-based compensation of $8.4 million, and changes in accrued liabilities of $1.7 million, other long-term liabilities of $1.2 million, accrued compensation of $946,000, and accounts payable, amortization of deferred financing costs, bad debt expense, and inventories totaling of $698,000. These were offset by changes in deferred income taxes of $2.9 million, accounts receivable of $2.7 million and other assets of $1.3 million.</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provided by operating activities during the year ended January 31, 2016 resulted primarily from our net income of $16.6 million adjusted for the following non-cash items: depreciation and amortization of $8.6 million and stock-based compensation of $5.9 million, changes in accrued compensation of $2.5 million, and accounts payable of $1.0 million. These were offset by changes in accounts receivable of $5.2 million, deferred income taxes of $2.2 million, and accrued liabilities, other long-term liabilities and other assets of $742,000.</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We continued to increase our purchases of software and capitalized software development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continued growth. During the years ended January 31, 2018, 2017 and 2016, purchases of software and capitalized software development costs were $10.4 million, $9.0 million, and $ 6.9 million, respectively. We also increased our purchases of property and equipment to $5.5 million, $3.6 million and $2.4 million, respectively, due to our continued growth.</w:t>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investing activities during the year ended January 31, 2018 was primarily the result of the acquisition of the right to be the custodian of the First Interstate Bancsystem and Alliant Credit Union HSA portfolio acquisitions for $6.4 million and $ 8.0 million, respectively, as well as our acquisition of the rights to be the sole administrator of a portfolio of HSA Members for $3.3 million and an acquisition of a business for $2.9 million.</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Net cash used in investing activities during the year ended January 31, 2016 was primarily the result of the acquisition of the right to be the custodian of the Bancorp and M&amp;T HSA portfolios totaling $40.5 million, the purchases of marketable securities of $40.3 million, and a $500,000 investment in a limited partnership that engages in the development of technology-based financial healthcare products.</w:t>
      </w:r>
    </w:p>
    <w:p>
      <w:pPr>
        <w:spacing w:after="0" w:line="7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 xml:space="preserve">Cash flows provided by financing activities. </w:t>
      </w:r>
      <w:r>
        <w:rPr>
          <w:rFonts w:ascii="Arial" w:cs="Arial" w:eastAsia="Arial" w:hAnsi="Arial"/>
          <w:sz w:val="18"/>
          <w:szCs w:val="18"/>
          <w:color w:val="auto"/>
        </w:rPr>
        <w:t>Cash flow provided by financing activities during the year ended January 31, 2018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proceeds associated with the exercise of stock options of $14.6 million.</w:t>
      </w:r>
    </w:p>
    <w:p>
      <w:pPr>
        <w:spacing w:after="0" w:line="6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Cash flow provided by financing activities during the year ended January 31, 2017 resulted primarily from proceeds associated with the exercise of stock options of $7.1 million, and the associated tax benefits of $16.6 million.</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flow used in financing activities during the year ended January 31, 2016 resulted primarily from our follow-on offering, from which we received net proceeds of $23.5 million from the sale of 972,500 shares of our common stock, proceeds associated with the exercise of stock options of $ 1.9 million, and the associated tax benefits of $11.6 million. These items were offset by deferred financing costs paid of $317,000 in conjunction with the credit agreement entered into during the year.</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3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lease office space, data storage facilities, equipment and certain maintenance requirements under long-term non-cancelable operating leases. Future minimum lease payments required under non-cancelable obligations as of January 31, 2018 are as follows: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Payment due by period</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More than</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 years</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1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Office lease obligations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37,383</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Data storage and equipment lease obligations</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712</w:t>
            </w:r>
          </w:p>
        </w:tc>
      </w:tr>
      <w:tr>
        <w:trPr>
          <w:trHeight w:val="222"/>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Processing services agreement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2,475</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Telephony services</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288</w:t>
            </w:r>
          </w:p>
        </w:tc>
      </w:tr>
      <w:tr>
        <w:trPr>
          <w:trHeight w:val="222"/>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2,252</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4,504</w:t>
            </w:r>
          </w:p>
        </w:tc>
      </w:tr>
      <w:tr>
        <w:trPr>
          <w:trHeight w:val="204"/>
        </w:trPr>
        <w:tc>
          <w:tcPr>
            <w:tcW w:w="47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6,216</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12,147</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9,965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17,034</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45,362</w:t>
            </w:r>
          </w:p>
        </w:tc>
      </w:tr>
    </w:tbl>
    <w:p>
      <w:pPr>
        <w:spacing w:after="0" w:line="2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u w:val="single" w:color="auto"/>
          <w:color w:val="auto"/>
        </w:rPr>
        <w:t>Office lease obligations</w:t>
      </w:r>
      <w:r>
        <w:rPr>
          <w:rFonts w:ascii="Arial" w:cs="Arial" w:eastAsia="Arial" w:hAnsi="Arial"/>
          <w:sz w:val="18"/>
          <w:szCs w:val="18"/>
          <w:color w:val="auto"/>
        </w:rPr>
        <w:t>—On May 15, 2015, the Company entered into a lease agreement to expand its headquarters in Draper, Utah. The lease provides for the new landlord to construct a building at its cost. The lease commenced upon the substantial completion and delivery of the building to the Company on July 1, 2016 and has an initial term of 129 months thereafter, with an option for the Company to extend the lease for two additional five-year periods. The Company is responsible for payment of taxes and operating expenses for its portion of the building, in addition to an annual base rent in the initial amount of approximately $1.0 million, with 2.5% annual increases. In conjunction with the aforementioned lease, the Company entered into an amended and restated lease agreement for its existing office space at its headquarters in Draper, Utah. The lease commenced on July 1, 2015 and has an initial term of 129 months thereafter, with an option for the Company to extend the lease for two additional five-year periods. The Company is responsible for payment of taxes and operating expenses for its portion of the building, in addition to an annual base rent in the initial amount of approximately $1.6 million, with 2.5% annual increases.</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September 16, 2016, the Company amended its lease to expand its current office space. The term of the lease commenced on July 1, 2016 and will expire on March 31, 2027. The Company is responsible for payment of taxes and operating expenses for its portion of the building, in addition to an annual base rent in the initial amount of approximately $569,000, with 2.5% annual increases.</w:t>
      </w:r>
    </w:p>
    <w:p>
      <w:pPr>
        <w:spacing w:after="0" w:line="9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May 31, 2017, the Company entered into an amendment to its lease agreement, dated May 15, 2015, to expand its current office space. The term of the lease commenced on January 1, 2018 and will expire on March 31, 2027. The Company is responsible for payment of taxes and operating expenses for its portion of the building, in addition to an annual base rent in the initial amount of approximately $513,000, with annual increases ranging from 2.5% to 3.1%.</w:t>
      </w:r>
    </w:p>
    <w:p>
      <w:pPr>
        <w:spacing w:after="0" w:line="96"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Lease expense for office space for the years ended January 31, 2018, 2017 and 2016 totaled $4.3 million, $3.3 million and $2.1 million, respectively. The Company also leases office space in Overland Park, Kansas, which expires in February 2019.</w:t>
      </w:r>
    </w:p>
    <w:p>
      <w:pPr>
        <w:spacing w:after="0" w:line="8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u w:val="single" w:color="auto"/>
          <w:color w:val="auto"/>
        </w:rPr>
        <w:t>Data storage and equipment lease obligations</w:t>
      </w:r>
      <w:r>
        <w:rPr>
          <w:rFonts w:ascii="Arial" w:cs="Arial" w:eastAsia="Arial" w:hAnsi="Arial"/>
          <w:sz w:val="18"/>
          <w:szCs w:val="18"/>
          <w:color w:val="auto"/>
        </w:rPr>
        <w:t>—The data storage and equipment leases relate to our offsite data storage facility and office equipment leases. All of these leases expire during the year ended January 31, 2020.</w:t>
      </w:r>
    </w:p>
    <w:p>
      <w:pPr>
        <w:spacing w:after="0" w:line="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u w:val="single" w:color="auto"/>
          <w:color w:val="auto"/>
        </w:rPr>
        <w:t>Telephony services</w:t>
      </w:r>
      <w:r>
        <w:rPr>
          <w:rFonts w:ascii="Arial" w:cs="Arial" w:eastAsia="Arial" w:hAnsi="Arial"/>
          <w:sz w:val="18"/>
          <w:szCs w:val="18"/>
          <w:color w:val="auto"/>
        </w:rPr>
        <w:t>—The telephony service agreement relates to our 24/7/365 member support center. The agreement expires in September 2019.</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—The Company's processing services agreement with a vendor expires December 31, 2020 and requires the Company to pay a minimum processing fee based on the processing year of the agreement. The Company may terminate the agreement beginning January 1, 2020 by providing 180 days’ written notice.</w:t>
      </w:r>
    </w:p>
    <w:p>
      <w:pPr>
        <w:spacing w:after="0" w:line="9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If the processing agreement is terminated prior to December 31, 2020, the Company is required to pay the vendor a termination fee, equal to 75% of the aggregate value of the minimum processing fees for the remaining years of the agreement, plus a portion of the account-boarding incentive fee.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2018, 2017 and 2016, the Company exceeded the minimum amounts required under the agreement.</w:t>
      </w:r>
    </w:p>
    <w:p>
      <w:pPr>
        <w:spacing w:after="0" w:line="11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Company also has agreements with several entities for access to technology and software. The agreements are based on usage, and there are no minimum required monthly payments.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Except as disclosed in the notes to our financial statements, we do not have any relationships with unconsolidated organizations or financial partnerships, such as structured finance or special purpose entities, that would have been established for the purpose of facilitating off-balance sheet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earn revenue primarily from three sources: service revenue, custodial revenue and interchange revenue. We recognize revenue when the following criteria are met: (1) collectability is reasonably assured; (2) delivery has occurred; (3) persuasive evidence of an arrangement exists; and (4) there is a fixed or determinable fee.</w:t>
      </w:r>
    </w:p>
    <w:p>
      <w:pPr>
        <w:spacing w:after="0" w:line="22" w:lineRule="exact"/>
        <w:rPr>
          <w:sz w:val="20"/>
          <w:szCs w:val="20"/>
          <w:color w:val="auto"/>
        </w:rPr>
      </w:pPr>
    </w:p>
    <w:p>
      <w:pPr>
        <w:ind w:left="340" w:right="10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We charge our Network Partners or individual members a monthly service fee once a member account is set up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We recognize revenue on the monthly service fees in the month during which we service each member account. In addition, we earn fees paid by employer partners and plan participants in connection with plan administrator and fiduciary services for 401(k) employer sponsors. The fees are paid on a quarterly basis and revenue is recognized in the month in which it is earned.</w:t>
      </w:r>
    </w:p>
    <w:p>
      <w:pPr>
        <w:spacing w:after="0" w:line="17"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interest on custodial cash. This interest is earned from various FDIC-insured bank partners and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contract with our insurance company partner with whom we deposit our members’ HSA cash assets. We also receive certain administrative and recordkeeping fees for custodial investments from our investment partners and customers. We recognize this revenue in the month in which it is earned.</w:t>
      </w:r>
    </w:p>
    <w:p>
      <w:pPr>
        <w:spacing w:after="0" w:line="17" w:lineRule="exact"/>
        <w:rPr>
          <w:rFonts w:ascii="Arial" w:cs="Arial" w:eastAsia="Arial" w:hAnsi="Arial"/>
          <w:sz w:val="18"/>
          <w:szCs w:val="18"/>
          <w:color w:val="auto"/>
        </w:rPr>
      </w:pPr>
    </w:p>
    <w:p>
      <w:pPr>
        <w:ind w:left="340" w:right="20" w:hanging="332"/>
        <w:spacing w:after="0" w:line="28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from card transaction “swipes” by our members when our members use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to pay healthcare-related claims and expenses. We recognize this revenue in the month in which it is earned.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Marketable securities consist primarily of mutual funds invested in corporate bonds, U.S. government agency securities, U.S. treasury bills, commercial paper, certificates of deposit, municipal notes, and bonds with original maturities beyond three months at the time of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purchase. Marketable securities are classified as available-for-sale, held-to-maturity, or trading at the date of purchase. We classify marketable securities, including securities with maturities beyond twelve months, as current assets in the consolidated balance sheets. All marketable securities are recorded at their estimated fair value. Unrealized gains and losses for available-for-sale securities are recorded in other comprehensive income, net of the related tax effect. We evaluate marketable securities to assess whether those with unrealized loss positions are other-than-temporarily impaired. We consider impairments to be other than temporary if they are related to deterioration in credit risk or if it is likely it will sell the securities before the recovery of their cost basis. Realized gains and losses and declines in value judged to be other-than-temporary are determined based on the specific identification method and are reported in other expense, net in the consolidated statements of operations and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w:t>
      </w:r>
    </w:p>
    <w:p>
      <w:pPr>
        <w:spacing w:after="0" w:line="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determine whether an acquisition qualifies as a business combination or an asset acquisition, we make certain judgments, which include assessment of the inputs, processes, and outputs associated with the acquired group of assets. If we determine that the acquisition consists of inputs, as well as processes that when applied to those inputs have the ability to create outputs, the acquisition is determined to be a business combination. In instances where the acquired group of assets does not include sufficient inputs and processes to produce outputs, the acquisition is determined to be an asset acquisition. Under the asset acquisition method of accounting, the Company is required to fair value the assets transferred. The cost of the assets acquired is allocated to the individual assets acquired based on their relative fair values and does not give rise to goodwill.</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an acquisition qualifies as a business combination, the related transaction costs are recorded as an expense in the consolidated statements of operations and comprehensive income. If an acquisition qualifies as an asset acquisition, the related transaction costs are capitalized and subsequently amortized over the useful life of the acquired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apply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r>
        <w:rPr>
          <w:rFonts w:ascii="Arial" w:cs="Arial" w:eastAsia="Arial" w:hAnsi="Arial"/>
          <w:sz w:val="18"/>
          <w:szCs w:val="18"/>
          <w:i w:val="1"/>
          <w:iCs w:val="1"/>
          <w:color w:val="auto"/>
        </w:rPr>
        <w:t>’’ and ASC 350, ‘‘Intangibles—Goodwill and Other</w:t>
      </w:r>
      <w:r>
        <w:rPr>
          <w:rFonts w:ascii="Arial" w:cs="Arial" w:eastAsia="Arial" w:hAnsi="Arial"/>
          <w:sz w:val="18"/>
          <w:szCs w:val="18"/>
          <w:color w:val="auto"/>
        </w:rPr>
        <w:t>’’ to account for goodwill and intangible assets. In accordance with these standards, we amortize all finite lived intangible assets over their respective estimated useful lives, while goodwill has an indefinite life and is not amortized. We review finite lived intangible assets subject to amortization for impairment whenever events or circumstances indicate that the associated carrying amount may not be recoverable. Goodwill is not amortized but is tested for impairment at least annually or more frequently whenever a triggering event or change in circumstances occurs, at the reporting unit level. We are required to recognize an impairment charge if the carrying amount of the reporting unit exceeds its fair value.</w:t>
      </w:r>
    </w:p>
    <w:p>
      <w:pPr>
        <w:spacing w:after="0" w:line="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Prior to our initial public offering, management used all available information to make this fair value determination, including the present values of expected future cash flows using discount rates commensurate with the risks involved in the assets and observed market multiples of operating cash flows and net income. After the consummation of our initial public offering, our stock price and associated market capitalization were also considered in the determination of reporting unit fair value. In addition, if the estimated fair value of the reporting unit is less than the book value (including the goodwill), further management judgment must be applied in determining the fair values of individual assets and liabilities. No impairments for goodwill or other intangible assets were recorded during the years ended January 31, 2018, 2017 and 2016. However, a lower fair value estimate in the future could result in impairment. A prolonged or significant decline in our stock price could provide evidence of a need to record a material impairment of goodwill.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account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 A valuation allowance is provided for when it is more likely than not that some or all of the deferred tax assets may not be realized in future years.</w:t>
      </w:r>
    </w:p>
    <w:p>
      <w:pPr>
        <w:spacing w:after="0" w:line="9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use the tax law ordering approach of intraperiod allocation in determining when excess tax benefits have been realized for provisions of the tax law that identify the sequence in which those amounts are utilized for tax purposes. We have also elected to exclude the indirect tax effects of share-based compensation deductions in computing the income tax provision recorded within the Consolidated Statement of Operations and Comprehensive Income. Also, we use the portfolio approach in releasing income tax effects from accumulated other comprehensive income.</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We recognize interest and penalties, if any, related to unrecognized tax benefits as a component of other income (expense) in the Statements of Operations and Comprehensive Income. Significant judgment is required to evaluate uncertain tax positions. Changes in facts and circumstances could have a material impact on our effective tax rate and results of operations. In light of the recently enacted Tax Cuts and Jobs Act, refer to Note 8. Income Taxes, within the notes to the consolidated financial statements for further discussion of the impact of this tax reform on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We award time-based and performance-based stock options to team members, directors, and executive officers.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related to stock options granted are measured at the date of grant based on the estimated fair value of the award, net of estimated forfeitures. We estimate the grant date fair value, and the resulting stock-based compensation expense, using the Black-Scholes option-pricing model. With respect to time-based stock options, the grant date fair value of stock-based awards is recognized on a straight-line basis over the requisite service period, which is generally the vesting period of the award. With respect to performance-based stock options, stock compensation expense is recognized over the requisite service period using the graded-vesting attribution method when it is probable that the performance condition will be achieved. Each reporting period, we evaluate the probability of achieving the performance criteria and of the number of shares that are expected to vest; compensation expense is then adjusted to reflect the number of shares expected to vest. Accordingly, the expense recognized is an estimate that may change over time as key assumptions are updated. We expect to continue to grant stock options in the future, and to the extent that we do, our stock-based compensation expense recognized in future periods will likely increase.</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income and net income per share of common stock could have been significantly different. These assumptions include:</w:t>
      </w:r>
    </w:p>
    <w:p>
      <w:pPr>
        <w:spacing w:after="0" w:line="22" w:lineRule="exact"/>
        <w:rPr>
          <w:sz w:val="20"/>
          <w:szCs w:val="20"/>
          <w:color w:val="auto"/>
        </w:rPr>
      </w:pPr>
    </w:p>
    <w:p>
      <w:pPr>
        <w:ind w:left="340" w:right="10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adequate length of trading history for our common stock, the expected stock price volatility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was estimated by taking the average historical price volatility for industry peers based on daily price observations.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price becomes available, or unless circumstances change such that the identified companies are no longer similar to us, in which case, more suitable companies whose share prices are publicly available would be utilized in the calculation.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80" w:hanging="332"/>
        <w:spacing w:after="0" w:line="26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stock-based awards are expected to be outstanding. We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to estimate the expected term as determined under Staff Accounting Bulletin No. 110 due to the lack of option exercise history as a public company.</w:t>
      </w:r>
    </w:p>
    <w:p>
      <w:pPr>
        <w:spacing w:after="0" w:line="14" w:lineRule="exact"/>
        <w:rPr>
          <w:rFonts w:ascii="Arial" w:cs="Arial" w:eastAsia="Arial" w:hAnsi="Arial"/>
          <w:sz w:val="18"/>
          <w:szCs w:val="18"/>
          <w:color w:val="auto"/>
        </w:rPr>
      </w:pPr>
    </w:p>
    <w:p>
      <w:pPr>
        <w:ind w:left="340" w:right="120" w:hanging="332"/>
        <w:spacing w:after="0" w:line="28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options for each option group.</w:t>
      </w:r>
    </w:p>
    <w:p>
      <w:pPr>
        <w:spacing w:after="0" w:line="1" w:lineRule="exact"/>
        <w:rPr>
          <w:rFonts w:ascii="Arial" w:cs="Arial" w:eastAsia="Arial" w:hAnsi="Arial"/>
          <w:sz w:val="18"/>
          <w:szCs w:val="18"/>
          <w:color w:val="auto"/>
        </w:rPr>
      </w:pPr>
    </w:p>
    <w:p>
      <w:pPr>
        <w:ind w:left="340" w:right="24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to our common stockholders and do not presently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any cash dividends in the foreseeable future, other than in connection with the special dividend described in Item 5- Market for registrant's common equity, related stockholders matters and issuer purchases of equity securities. Consequently, we used an expected dividend yield of zero.</w:t>
      </w:r>
    </w:p>
    <w:p>
      <w:pPr>
        <w:spacing w:after="0" w:line="90"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b w:val="1"/>
                <w:bCs w:val="1"/>
                <w:color w:val="auto"/>
              </w:rPr>
              <w:t>Year ended January 31,</w:t>
            </w:r>
          </w:p>
        </w:tc>
      </w:tr>
      <w:tr>
        <w:trPr>
          <w:trHeight w:val="264"/>
        </w:trPr>
        <w:tc>
          <w:tcPr>
            <w:tcW w:w="39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5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400" w:type="dxa"/>
            <w:vAlign w:val="bottom"/>
          </w:tcPr>
          <w:p>
            <w:pPr>
              <w:jc w:val="right"/>
              <w:ind w:right="410"/>
              <w:spacing w:after="0"/>
              <w:rPr>
                <w:sz w:val="20"/>
                <w:szCs w:val="20"/>
                <w:color w:val="auto"/>
              </w:rPr>
            </w:pPr>
            <w:r>
              <w:rPr>
                <w:rFonts w:ascii="Arial" w:cs="Arial" w:eastAsia="Arial" w:hAnsi="Arial"/>
                <w:sz w:val="18"/>
                <w:szCs w:val="18"/>
                <w:color w:val="auto"/>
              </w:rPr>
              <w:t>37.79% - 38.01%</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38.01% - 38.37%</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38.29% - 40.29%</w:t>
            </w:r>
          </w:p>
        </w:tc>
      </w:tr>
      <w:tr>
        <w:trPr>
          <w:trHeight w:val="26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1.18% - 2.07%</w:t>
            </w: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 - 2.18%</w:t>
            </w:r>
          </w:p>
        </w:tc>
        <w:tc>
          <w:tcPr>
            <w:tcW w:w="2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 - 1.80%</w:t>
            </w:r>
          </w:p>
        </w:tc>
      </w:tr>
      <w:tr>
        <w:trPr>
          <w:trHeight w:val="250"/>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Expected life of options</w:t>
            </w:r>
          </w:p>
        </w:tc>
        <w:tc>
          <w:tcPr>
            <w:tcW w:w="3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4.50 - 6.25 years</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4.50 - 6.25 years</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5.43 - 6.25 years</w:t>
            </w:r>
          </w:p>
        </w:tc>
      </w:tr>
    </w:tbl>
    <w:p>
      <w:pPr>
        <w:spacing w:after="0" w:line="107"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We will continue to use judgment in evaluating the assumptions utilized for our stock-based compensation expense calculations on a prospective basis.</w:t>
      </w:r>
    </w:p>
    <w:p>
      <w:pPr>
        <w:spacing w:after="0" w:line="8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estimated fair value of a stock option using the Black-Scholes option-pricing model is impacted significantly by changes in a company’s stock price. For example, all other assumptions being equal, the estimated fair value of a stock option will increase as the closing price of a company’s stock increases, and vice versa. Prior to the closing of the IPO, we were a private company and, as such, we were required to estimate the fair value of our common stock. In the absence of a public trading market, we determined a reasonable estimate of the then-current fair value of our common stock for purposes of granting stock-based compensation based on multiple criteria. We estimated the fair value of our common stock utilizing 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AICPA Practice Aid. After closing of the IPO, the fair value of our common stock is no longer an estimate as it is based upon the closing price of our stock on the NASDAQ Market on the date of grant.</w:t>
      </w:r>
    </w:p>
    <w:p>
      <w:pPr>
        <w:spacing w:after="0" w:line="8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Restricted stock units and performance-based RSUs are valued based on the current value of the Company's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less the present value of future expected dividends discounted at the risk-free interest rate. Expense for restricted stock units is recognized on a straight-line basis over the requisite service period. Expense for performance-based RSUs is recognized when it is considered probable that the performance conditions will be met.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 insurance</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are self-insured for medical and dental benefits for all qualifying employees. The medical plan carries a stop-loss policy which will protect from individual claims during the plan year exceeding $110,000. We record estimates of costs of claims incurred but not reported based on an analysis of historical data and independent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See Note 1. Summary of business and significant accounting policies within the financial statements included in this Form 10-K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Concentration of market risk. </w:t>
      </w:r>
      <w:r>
        <w:rPr>
          <w:rFonts w:ascii="Arial" w:cs="Arial" w:eastAsia="Arial" w:hAnsi="Arial"/>
          <w:sz w:val="18"/>
          <w:szCs w:val="18"/>
          <w:color w:val="auto"/>
        </w:rPr>
        <w:t>We derive a substantial portion of our revenue from providing services to tax-advantaged healthcare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A significant downturn in this market or changes in state and/or federal laws impacting the preferential tax treatment of healthcare accounts such as HSAs could have a material adverse effect on our results of operations. During the years ended January 31, 2018, 2017, and 2016, no one customer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accounted for greater than 10% of our total revenue. We monitor market and regulatory changes regularly and make adjustments to our business if necessary.</w:t>
      </w:r>
    </w:p>
    <w:p>
      <w:pPr>
        <w:spacing w:after="0" w:line="6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Inflationary factors may adversely affect our operating results. Althought we do not believe that inflation has had a material impact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us to concentrations of credit risk, consist primarily of cash, cash equivalents and marketable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We maintain our cash, cash equivalents and marketable securities in bank and other depository accounts, which, at times,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exceed federally insured limits. Our cash, cash equivalents and marketable securities as of January 31, 2018 were $240.3 million,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$750,000 was covered by federal depository insurance. We have not experienced any material losses in such accounts and believe we are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exposed to any significant credit risk with respect to our cash, cash equivalents, and marketable securities. Our accounts receivable balance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January 31, 2018 was $21.6 million. We have not experienced any significant write-offs to our accounts receivable and believe that we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exposed to significant credit risk with respect to our accounts receivable. We continue to monitor our credit risk and place our cash,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equivalents, and marketable securities with reputable financial institutions.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Custodial cash assets. </w:t>
      </w:r>
      <w:r>
        <w:rPr>
          <w:rFonts w:ascii="Arial" w:cs="Arial" w:eastAsia="Arial" w:hAnsi="Arial"/>
          <w:sz w:val="18"/>
          <w:szCs w:val="18"/>
          <w:color w:val="auto"/>
        </w:rPr>
        <w:t>Our custodial cash assets consists of custodial HSA funds we hold in custody on behalf of our members.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2018, we had custodial cash of approximately $5.5 billion. As a non-bank custodian, we contract with FDIC-insured custodial depository bank partners and an insurance company partner to hold custodial cash assets on behalf of our members, and we earn a significant portion of our total revenue from interest rates offered to us by these partners. The contract terms range from three to five years and have either fixed or variable interest rates. As our custodial assets increase and existing agreements expire, we seek to enter into new contracts with FDIC-insured custodial depository bank partners, the terms of which are impacted by the then-prevailing interest rate environment. The diversification of deposits among bank partners and varied contract terms substantially reduces our exposure to short-term fluctuations in prevailing interest rates and mitigates the short-term impact of a sustained increase or decline in prevailing interest rates on our custodial revenue. 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An increase in our yield would increase our custodial revenue as a percentage of total revenue. In addition, as our yield increases, we expect the spread to grow between the interest offered to us by our custodial depository bank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Cash, cash equivalents and marketable securities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purchased with an original maturity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 to be unrestricted cash equivalents. Our unrestricted cash and cash equivalents are held in institutions in the U.S. and include deposits in a money market account that is unrestricted as to withdrawal or use. As of January 31, 2018, we had unrestricted cash and cash equivalents of $199.5 million. Due to the short-term nature of these instruments, we believe that we do not have any material exposure to changes in the fair value of our cash and cash equivalents as a result of changes in interest rates.</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of January 31, 2018, we had marketable securities of $40.8 million. Marketable securities are recorded at their estimated fair value. We do not enter into investments for trading or speculative purposes. Our marketable securities are exposed to market risk due to a fluctuation in interest rates, which may affect the fair market value of our marketable securities. However, because we classify our marketable securities as "available-for-sale," no gains or losses are recognized in net income due to changes in interest rates unless such securities are sold prior to maturity or declines in fair value are determined to be other-than-temporary.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8. Financial statements and Supplementary Data</w:t>
      </w: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consolidated financial statements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03"/>
        </w:trPr>
        <w:tc>
          <w:tcPr>
            <w:tcW w:w="1052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520" w:type="dxa"/>
            <w:vAlign w:val="bottom"/>
            <w:gridSpan w:val="8"/>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January 31, 2018 and 2017</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34"/>
        </w:trPr>
        <w:tc>
          <w:tcPr>
            <w:tcW w:w="40" w:type="dxa"/>
            <w:vAlign w:val="bottom"/>
          </w:tcPr>
          <w:p>
            <w:pPr>
              <w:spacing w:after="0"/>
              <w:rPr>
                <w:sz w:val="2"/>
                <w:szCs w:val="2"/>
                <w:color w:val="auto"/>
              </w:rPr>
            </w:pPr>
          </w:p>
        </w:tc>
        <w:tc>
          <w:tcPr>
            <w:tcW w:w="336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52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and Comprehensive Income for the years ended January 31, 2018, 2017 and 2016</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50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520" w:type="dxa"/>
            <w:vAlign w:val="bottom"/>
            <w:gridSpan w:val="8"/>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Stockholders' Equity for the years ended January 31, 2018, 2017 and 2016</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4"/>
        </w:trPr>
        <w:tc>
          <w:tcPr>
            <w:tcW w:w="40" w:type="dxa"/>
            <w:vAlign w:val="bottom"/>
          </w:tcPr>
          <w:p>
            <w:pPr>
              <w:spacing w:after="0"/>
              <w:rPr>
                <w:sz w:val="2"/>
                <w:szCs w:val="2"/>
                <w:color w:val="auto"/>
              </w:rPr>
            </w:pPr>
          </w:p>
        </w:tc>
        <w:tc>
          <w:tcPr>
            <w:tcW w:w="336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52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January 31, 2018, 2017 and 2016</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50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520" w:type="dxa"/>
            <w:vAlign w:val="bottom"/>
            <w:gridSpan w:val="8"/>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709"/>
        </w:trPr>
        <w:tc>
          <w:tcPr>
            <w:tcW w:w="40" w:type="dxa"/>
            <w:vAlign w:val="bottom"/>
          </w:tcPr>
          <w:p>
            <w:pPr>
              <w:spacing w:after="0"/>
              <w:rPr>
                <w:sz w:val="24"/>
                <w:szCs w:val="24"/>
                <w:color w:val="auto"/>
              </w:rPr>
            </w:pPr>
          </w:p>
        </w:tc>
        <w:tc>
          <w:tcPr>
            <w:tcW w:w="3360" w:type="dxa"/>
            <w:vAlign w:val="bottom"/>
            <w:tcBorders>
              <w:top w:val="single" w:sz="8" w:color="0000EE"/>
            </w:tcBorders>
          </w:tcPr>
          <w:p>
            <w:pPr>
              <w:spacing w:after="0"/>
              <w:rPr>
                <w:sz w:val="24"/>
                <w:szCs w:val="24"/>
                <w:color w:val="auto"/>
              </w:rPr>
            </w:pPr>
          </w:p>
        </w:tc>
        <w:tc>
          <w:tcPr>
            <w:tcW w:w="4180" w:type="dxa"/>
            <w:vAlign w:val="bottom"/>
            <w:gridSpan w:val="3"/>
          </w:tcPr>
          <w:p>
            <w:pPr>
              <w:jc w:val="right"/>
              <w:ind w:right="1700"/>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9" w:name="page50"/>
    <w:bookmarkEnd w:id="49"/>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HealthEquity,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HealthEquity, Inc. and its subsidiaries as of January 31, 2018 and 2017, and the related consolidated statements of operations and comprehensive income, of stockholders' equity and of cash flows for each of the three years in the period ended January 31, 2018, including the related notes (collectively referred to as the “consolidated financial statements”). We also have audited the Company's internal control over financial reporting as of January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2018 and 2017, and the results of their operations and their cash flows for each of the three years in the period ended January 31, 2018 in conformity with accounting principles generally accepted in the United States of America. Also in our opinion, the Company maintained, in all material respects, effective internal control over financial reporting as of January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42" w:right="259" w:bottom="1440" w:gutter="0" w:footer="0" w:header="0"/>
        </w:sectPr>
      </w:pPr>
    </w:p>
    <w:bookmarkStart w:id="50" w:name="page51"/>
    <w:bookmarkEnd w:id="50"/>
    <w:p>
      <w:pPr>
        <w:ind w:right="40"/>
        <w:spacing w:after="0" w:line="256" w:lineRule="auto"/>
        <w:rPr>
          <w:sz w:val="20"/>
          <w:szCs w:val="20"/>
          <w:color w:val="auto"/>
        </w:rPr>
      </w:pPr>
      <w:r>
        <w:rPr>
          <w:rFonts w:ascii="Arial" w:cs="Arial" w:eastAsia="Arial" w:hAnsi="Arial"/>
          <w:sz w:val="18"/>
          <w:szCs w:val="18"/>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382" w:right="399" w:bottom="1440" w:gutter="0" w:footer="0" w:header="0"/>
        </w:sectPr>
      </w:pPr>
    </w:p>
    <w:bookmarkStart w:id="51" w:name="page52"/>
    <w:bookmarkEnd w:id="51"/>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par value)</w:t>
            </w:r>
          </w:p>
        </w:tc>
        <w:tc>
          <w:tcPr>
            <w:tcW w:w="4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January 31, 2018</w:t>
            </w:r>
          </w:p>
        </w:tc>
        <w:tc>
          <w:tcPr>
            <w:tcW w:w="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January 31, 2017</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139,954</w:t>
            </w:r>
          </w:p>
        </w:tc>
      </w:tr>
      <w:tr>
        <w:trPr>
          <w:trHeight w:val="21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Marketable securities, at fair value</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40,797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40,405</w:t>
            </w: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marketable securities</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240,269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180,359</w:t>
            </w:r>
          </w:p>
        </w:tc>
      </w:tr>
      <w:tr>
        <w:trPr>
          <w:trHeight w:val="194"/>
        </w:trPr>
        <w:tc>
          <w:tcPr>
            <w:tcW w:w="720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$208 and $75 as of January 31, 2018 and</w:t>
            </w: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78"/>
        </w:trPr>
        <w:tc>
          <w:tcPr>
            <w:tcW w:w="7200" w:type="dxa"/>
            <w:vAlign w:val="bottom"/>
          </w:tcPr>
          <w:p>
            <w:pPr>
              <w:ind w:left="180"/>
              <w:spacing w:after="0"/>
              <w:rPr>
                <w:sz w:val="20"/>
                <w:szCs w:val="20"/>
                <w:color w:val="auto"/>
              </w:rPr>
            </w:pPr>
            <w:r>
              <w:rPr>
                <w:rFonts w:ascii="Arial" w:cs="Arial" w:eastAsia="Arial" w:hAnsi="Arial"/>
                <w:sz w:val="14"/>
                <w:szCs w:val="14"/>
                <w:color w:val="auto"/>
              </w:rPr>
              <w:t>2017, respectively</w:t>
            </w:r>
          </w:p>
        </w:tc>
        <w:tc>
          <w:tcPr>
            <w:tcW w:w="4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21,602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17,001</w:t>
            </w: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r>
      <w:tr>
        <w:trPr>
          <w:trHeight w:val="21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2,867</w:t>
            </w: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265,396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200,819</w:t>
            </w:r>
          </w:p>
        </w:tc>
      </w:tr>
      <w:tr>
        <w:trPr>
          <w:trHeight w:val="204"/>
        </w:trPr>
        <w:tc>
          <w:tcPr>
            <w:tcW w:w="720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460" w:type="dxa"/>
            <w:vAlign w:val="bottom"/>
          </w:tcPr>
          <w:p>
            <w:pPr>
              <w:spacing w:after="0"/>
              <w:rPr>
                <w:sz w:val="17"/>
                <w:szCs w:val="17"/>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7,836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5,170</w:t>
            </w: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65,020</w:t>
            </w:r>
          </w:p>
        </w:tc>
      </w:tr>
      <w:tr>
        <w:trPr>
          <w:trHeight w:val="210"/>
        </w:trPr>
        <w:tc>
          <w:tcPr>
            <w:tcW w:w="7200" w:type="dxa"/>
            <w:vAlign w:val="bottom"/>
          </w:tcPr>
          <w:p>
            <w:pPr>
              <w:ind w:left="18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4,651</w:t>
            </w: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1,615</w:t>
            </w:r>
          </w:p>
        </w:tc>
      </w:tr>
      <w:tr>
        <w:trPr>
          <w:trHeight w:val="21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1,861</w:t>
            </w: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369,159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279,136</w:t>
            </w:r>
          </w:p>
        </w:tc>
      </w:tr>
      <w:tr>
        <w:trPr>
          <w:trHeight w:val="184"/>
        </w:trPr>
        <w:tc>
          <w:tcPr>
            <w:tcW w:w="720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0"/>
        </w:trPr>
        <w:tc>
          <w:tcPr>
            <w:tcW w:w="72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3,221</w:t>
            </w: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8,722</w:t>
            </w:r>
          </w:p>
        </w:tc>
      </w:tr>
      <w:tr>
        <w:trPr>
          <w:trHeight w:val="21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3,760</w:t>
            </w: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15,703</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liabilities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w:t>
            </w:r>
          </w:p>
        </w:tc>
      </w:tr>
      <w:tr>
        <w:trPr>
          <w:trHeight w:val="210"/>
        </w:trPr>
        <w:tc>
          <w:tcPr>
            <w:tcW w:w="7200" w:type="dxa"/>
            <w:vAlign w:val="bottom"/>
          </w:tcPr>
          <w:p>
            <w:pPr>
              <w:ind w:left="180"/>
              <w:spacing w:after="0"/>
              <w:rPr>
                <w:sz w:val="20"/>
                <w:szCs w:val="20"/>
                <w:color w:val="auto"/>
              </w:rPr>
            </w:pPr>
            <w:r>
              <w:rPr>
                <w:rFonts w:ascii="Arial" w:cs="Arial" w:eastAsia="Arial" w:hAnsi="Arial"/>
                <w:sz w:val="14"/>
                <w:szCs w:val="14"/>
                <w:color w:val="auto"/>
              </w:rPr>
              <w:t>Deferred tax liability</w:t>
            </w:r>
          </w:p>
        </w:tc>
        <w:tc>
          <w:tcPr>
            <w:tcW w:w="4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16"/>
        </w:trPr>
        <w:tc>
          <w:tcPr>
            <w:tcW w:w="72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long-term liabilities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1,493</w:t>
            </w:r>
          </w:p>
        </w:tc>
      </w:tr>
      <w:tr>
        <w:trPr>
          <w:trHeight w:val="20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22,885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17,196</w:t>
            </w:r>
          </w:p>
        </w:tc>
      </w:tr>
      <w:tr>
        <w:trPr>
          <w:trHeight w:val="19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 (see note 6)</w:t>
            </w:r>
          </w:p>
        </w:tc>
        <w:tc>
          <w:tcPr>
            <w:tcW w:w="4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84"/>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31, 2018 and 2017</w:t>
            </w:r>
          </w:p>
        </w:tc>
        <w:tc>
          <w:tcPr>
            <w:tcW w:w="4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7200" w:type="dxa"/>
            <w:vAlign w:val="bottom"/>
          </w:tcPr>
          <w:p>
            <w:pPr>
              <w:ind w:left="180"/>
              <w:spacing w:after="0"/>
              <w:rPr>
                <w:sz w:val="20"/>
                <w:szCs w:val="20"/>
                <w:color w:val="auto"/>
              </w:rPr>
            </w:pPr>
            <w:r>
              <w:rPr>
                <w:rFonts w:ascii="Arial" w:cs="Arial" w:eastAsia="Arial" w:hAnsi="Arial"/>
                <w:sz w:val="14"/>
                <w:szCs w:val="14"/>
                <w:color w:val="auto"/>
              </w:rPr>
              <w:t>Common stock, $0.0001 par value, 900,000 shares authorized, 60,825 and 59,538 shares issued and</w:t>
            </w: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78"/>
        </w:trPr>
        <w:tc>
          <w:tcPr>
            <w:tcW w:w="7200" w:type="dxa"/>
            <w:vAlign w:val="bottom"/>
          </w:tcPr>
          <w:p>
            <w:pPr>
              <w:ind w:left="180"/>
              <w:spacing w:after="0"/>
              <w:rPr>
                <w:sz w:val="20"/>
                <w:szCs w:val="20"/>
                <w:color w:val="auto"/>
              </w:rPr>
            </w:pPr>
            <w:r>
              <w:rPr>
                <w:rFonts w:ascii="Arial" w:cs="Arial" w:eastAsia="Arial" w:hAnsi="Arial"/>
                <w:sz w:val="14"/>
                <w:szCs w:val="14"/>
                <w:color w:val="auto"/>
              </w:rPr>
              <w:t>outstanding as of January 31, 2018 and 2017, respectively</w:t>
            </w:r>
          </w:p>
        </w:tc>
        <w:tc>
          <w:tcPr>
            <w:tcW w:w="4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261,237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232,114</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Accumulated other comprehensive loss, net</w:t>
            </w: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earnings</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85,300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29,985</w:t>
            </w:r>
          </w:p>
        </w:tc>
      </w:tr>
      <w:tr>
        <w:trPr>
          <w:trHeight w:val="20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346,274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261,940</w:t>
            </w:r>
          </w:p>
        </w:tc>
      </w:tr>
      <w:tr>
        <w:trPr>
          <w:trHeight w:val="210"/>
        </w:trPr>
        <w:tc>
          <w:tcPr>
            <w:tcW w:w="72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369,159</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279,136</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9" w:right="239" w:bottom="1440" w:gutter="0" w:footer="0" w:header="0"/>
        </w:sectPr>
      </w:pPr>
    </w:p>
    <w:bookmarkStart w:id="52" w:name="page53"/>
    <w:bookmarkEnd w:id="52"/>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1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5720" w:type="dxa"/>
            <w:vAlign w:val="bottom"/>
          </w:tcPr>
          <w:p>
            <w:pPr>
              <w:ind w:left="160"/>
              <w:spacing w:after="0"/>
              <w:rPr>
                <w:sz w:val="20"/>
                <w:szCs w:val="20"/>
                <w:color w:val="auto"/>
              </w:rPr>
            </w:pPr>
            <w:r>
              <w:rPr>
                <w:rFonts w:ascii="Arial" w:cs="Arial" w:eastAsia="Arial" w:hAnsi="Arial"/>
                <w:sz w:val="14"/>
                <w:szCs w:val="14"/>
                <w:color w:val="auto"/>
              </w:rPr>
              <w:t>Service revenue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91,619</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77,254</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61,608</w:t>
            </w:r>
          </w:p>
        </w:tc>
      </w:tr>
      <w:tr>
        <w:trPr>
          <w:trHeight w:val="222"/>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Custodial revenue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87,160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37,755</w:t>
            </w:r>
          </w:p>
        </w:tc>
      </w:tr>
      <w:tr>
        <w:trPr>
          <w:trHeight w:val="210"/>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Interchange revenue</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50,746</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41,523</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27,423</w:t>
            </w:r>
          </w:p>
        </w:tc>
      </w:tr>
      <w:tr>
        <w:trPr>
          <w:trHeight w:val="216"/>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229,525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178,370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126,786</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costs</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70,426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39,418</w:t>
            </w:r>
          </w:p>
        </w:tc>
      </w:tr>
      <w:tr>
        <w:trPr>
          <w:trHeight w:val="210"/>
        </w:trPr>
        <w:tc>
          <w:tcPr>
            <w:tcW w:w="5720" w:type="dxa"/>
            <w:vAlign w:val="bottom"/>
          </w:tcPr>
          <w:p>
            <w:pPr>
              <w:ind w:left="160"/>
              <w:spacing w:after="0"/>
              <w:rPr>
                <w:sz w:val="20"/>
                <w:szCs w:val="20"/>
                <w:color w:val="auto"/>
              </w:rPr>
            </w:pPr>
            <w:r>
              <w:rPr>
                <w:rFonts w:ascii="Arial" w:cs="Arial" w:eastAsia="Arial" w:hAnsi="Arial"/>
                <w:sz w:val="14"/>
                <w:szCs w:val="14"/>
                <w:color w:val="auto"/>
              </w:rPr>
              <w:t>Custodial costs</w:t>
            </w:r>
          </w:p>
        </w:tc>
        <w:tc>
          <w:tcPr>
            <w:tcW w:w="6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11,400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9,767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6,522</w:t>
            </w:r>
          </w:p>
        </w:tc>
      </w:tr>
      <w:tr>
        <w:trPr>
          <w:trHeight w:val="21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Interchange costs</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12,783</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10,380</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8,248</w:t>
            </w:r>
          </w:p>
        </w:tc>
      </w:tr>
      <w:tr>
        <w:trPr>
          <w:trHeight w:val="21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 of revenue</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94,609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72,015</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54,188</w:t>
            </w:r>
          </w:p>
        </w:tc>
      </w:tr>
      <w:tr>
        <w:trPr>
          <w:trHeight w:val="216"/>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Gross profit</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134,916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106,355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72,598</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and marketing</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23,139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13,302</w:t>
            </w:r>
          </w:p>
        </w:tc>
      </w:tr>
      <w:tr>
        <w:trPr>
          <w:trHeight w:val="210"/>
        </w:trPr>
        <w:tc>
          <w:tcPr>
            <w:tcW w:w="5720" w:type="dxa"/>
            <w:vAlign w:val="bottom"/>
          </w:tcPr>
          <w:p>
            <w:pPr>
              <w:ind w:left="160"/>
              <w:spacing w:after="0"/>
              <w:rPr>
                <w:sz w:val="20"/>
                <w:szCs w:val="20"/>
                <w:color w:val="auto"/>
              </w:rPr>
            </w:pPr>
            <w:r>
              <w:rPr>
                <w:rFonts w:ascii="Arial" w:cs="Arial" w:eastAsia="Arial" w:hAnsi="Arial"/>
                <w:sz w:val="14"/>
                <w:szCs w:val="14"/>
                <w:color w:val="auto"/>
              </w:rPr>
              <w:t>Technology and development</w:t>
            </w:r>
          </w:p>
        </w:tc>
        <w:tc>
          <w:tcPr>
            <w:tcW w:w="6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27,385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22,375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16,832</w:t>
            </w:r>
          </w:p>
        </w:tc>
      </w:tr>
      <w:tr>
        <w:trPr>
          <w:trHeight w:val="222"/>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25,111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14,113</w:t>
            </w:r>
          </w:p>
        </w:tc>
      </w:tr>
      <w:tr>
        <w:trPr>
          <w:trHeight w:val="210"/>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4,863</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4,297</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2,208</w:t>
            </w:r>
          </w:p>
        </w:tc>
      </w:tr>
      <w:tr>
        <w:trPr>
          <w:trHeight w:val="21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80,498</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65,143</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46,455</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Income from operations</w:t>
            </w:r>
          </w:p>
        </w:tc>
        <w:tc>
          <w:tcPr>
            <w:tcW w:w="6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54,418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41,212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26,143</w:t>
            </w:r>
          </w:p>
        </w:tc>
      </w:tr>
      <w:tr>
        <w:trPr>
          <w:trHeight w:val="222"/>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expense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expense, net</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r>
      <w:tr>
        <w:trPr>
          <w:trHeight w:val="21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other expense</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6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52,189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40,120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25,554</w:t>
            </w:r>
          </w:p>
        </w:tc>
      </w:tr>
      <w:tr>
        <w:trPr>
          <w:trHeight w:val="216"/>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13,744</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8,941</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47,362</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26,376</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16,613</w:t>
            </w:r>
          </w:p>
        </w:tc>
      </w:tr>
      <w:tr>
        <w:trPr>
          <w:trHeight w:val="222"/>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Basic</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0.29</w:t>
            </w:r>
          </w:p>
        </w:tc>
      </w:tr>
      <w:tr>
        <w:trPr>
          <w:trHeight w:val="222"/>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0.28</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60,304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58,615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56,719</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61,854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58,863</w:t>
            </w:r>
          </w:p>
        </w:tc>
      </w:tr>
      <w:tr>
        <w:trPr>
          <w:trHeight w:val="222"/>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47,362</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26,376</w:t>
            </w:r>
          </w:p>
        </w:tc>
        <w:tc>
          <w:tcPr>
            <w:tcW w:w="120" w:type="dxa"/>
            <w:vAlign w:val="bottom"/>
          </w:tcPr>
          <w:p>
            <w:pPr>
              <w:spacing w:after="0"/>
              <w:rPr>
                <w:sz w:val="18"/>
                <w:szCs w:val="18"/>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16,613</w:t>
            </w:r>
          </w:p>
        </w:tc>
      </w:tr>
      <w:tr>
        <w:trPr>
          <w:trHeight w:val="222"/>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Unrealized loss on available-for-sale marketable securities, net of tax</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210"/>
        </w:trPr>
        <w:tc>
          <w:tcPr>
            <w:tcW w:w="5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47,303</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26,309</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16,515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9" w:right="239" w:bottom="1440" w:gutter="0" w:footer="0" w:header="0"/>
        </w:sectPr>
      </w:pPr>
    </w:p>
    <w:bookmarkStart w:id="53" w:name="page54"/>
    <w:bookmarkEnd w:id="53"/>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Stockholders’ equity</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26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0"/>
        </w:trPr>
        <w:tc>
          <w:tcPr>
            <w:tcW w:w="390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restart"/>
          </w:tcPr>
          <w:p>
            <w:pPr>
              <w:jc w:val="right"/>
              <w:ind w:right="17"/>
              <w:spacing w:after="0" w:line="119"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5"/>
                <w:szCs w:val="5"/>
                <w:color w:val="auto"/>
              </w:rPr>
            </w:pPr>
          </w:p>
        </w:tc>
        <w:tc>
          <w:tcPr>
            <w:tcW w:w="1000" w:type="dxa"/>
            <w:vAlign w:val="bottom"/>
            <w:vMerge w:val="restart"/>
          </w:tcPr>
          <w:p>
            <w:pPr>
              <w:jc w:val="right"/>
              <w:ind w:right="37"/>
              <w:spacing w:after="0" w:line="119" w:lineRule="exact"/>
              <w:rPr>
                <w:sz w:val="20"/>
                <w:szCs w:val="20"/>
                <w:color w:val="auto"/>
              </w:rPr>
            </w:pPr>
            <w:r>
              <w:rPr>
                <w:rFonts w:ascii="Arial" w:cs="Arial" w:eastAsia="Arial" w:hAnsi="Arial"/>
                <w:sz w:val="13"/>
                <w:szCs w:val="13"/>
                <w:b w:val="1"/>
                <w:bCs w:val="1"/>
                <w:color w:val="auto"/>
              </w:rPr>
              <w:t>compre-</w:t>
            </w:r>
          </w:p>
        </w:tc>
        <w:tc>
          <w:tcPr>
            <w:tcW w:w="240" w:type="dxa"/>
            <w:vAlign w:val="bottom"/>
          </w:tcPr>
          <w:p>
            <w:pPr>
              <w:spacing w:after="0"/>
              <w:rPr>
                <w:sz w:val="5"/>
                <w:szCs w:val="5"/>
                <w:color w:val="auto"/>
              </w:rPr>
            </w:pPr>
          </w:p>
        </w:tc>
        <w:tc>
          <w:tcPr>
            <w:tcW w:w="1000" w:type="dxa"/>
            <w:vAlign w:val="bottom"/>
            <w:vMerge w:val="restart"/>
          </w:tcPr>
          <w:p>
            <w:pPr>
              <w:jc w:val="right"/>
              <w:ind w:right="37"/>
              <w:spacing w:after="0" w:line="119" w:lineRule="exact"/>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5"/>
                <w:szCs w:val="5"/>
                <w:color w:val="auto"/>
              </w:rPr>
            </w:pPr>
          </w:p>
        </w:tc>
        <w:tc>
          <w:tcPr>
            <w:tcW w:w="1040" w:type="dxa"/>
            <w:vAlign w:val="bottom"/>
            <w:vMerge w:val="restart"/>
          </w:tcPr>
          <w:p>
            <w:pPr>
              <w:jc w:val="right"/>
              <w:ind w:right="37"/>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9"/>
        </w:trPr>
        <w:tc>
          <w:tcPr>
            <w:tcW w:w="39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 except exercise prices)</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capital</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hensive loss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January 31, 2015</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54,802</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157,094</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(13,004)</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144,095</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39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1,951 options at $0.98 per share</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208"/>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common stock</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973</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23,492</w:t>
            </w: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23,492</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5,883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5,883</w:t>
            </w: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Arial" w:cs="Arial" w:eastAsia="Arial" w:hAnsi="Arial"/>
                <w:sz w:val="13"/>
                <w:szCs w:val="13"/>
                <w:color w:val="auto"/>
              </w:rPr>
              <w:t>Tax benefit on stock options exercised</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11,557</w:t>
            </w: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11,557</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16,613</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16,613</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as of January 31, 2016</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57,726</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199,940</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3,609</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203,457</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39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upon exercise of options, and for</w:t>
            </w: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1,812</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7,142</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7,142</w:t>
            </w: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8,398</w:t>
            </w: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8,398</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benefit on stock options exercised</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16,634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16,634</w:t>
            </w: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(67)</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26,376</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26,376</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3"/>
                <w:szCs w:val="13"/>
                <w:color w:val="auto"/>
              </w:rPr>
              <w:t>Balance as of January 31, 2017</w:t>
            </w: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59,538</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7"/>
              <w:spacing w:after="0"/>
              <w:rPr>
                <w:sz w:val="20"/>
                <w:szCs w:val="20"/>
                <w:color w:val="auto"/>
              </w:rPr>
            </w:pPr>
            <w:r>
              <w:rPr>
                <w:rFonts w:ascii="Arial" w:cs="Arial" w:eastAsia="Arial" w:hAnsi="Arial"/>
                <w:sz w:val="13"/>
                <w:szCs w:val="13"/>
                <w:color w:val="auto"/>
              </w:rPr>
              <w:t>6</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232,114</w:t>
            </w:r>
          </w:p>
        </w:tc>
        <w:tc>
          <w:tcPr>
            <w:tcW w:w="26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(165)</w:t>
            </w:r>
          </w:p>
        </w:tc>
        <w:tc>
          <w:tcPr>
            <w:tcW w:w="2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29,985</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37"/>
              <w:spacing w:after="0"/>
              <w:rPr>
                <w:sz w:val="20"/>
                <w:szCs w:val="20"/>
                <w:color w:val="auto"/>
              </w:rPr>
            </w:pPr>
            <w:r>
              <w:rPr>
                <w:rFonts w:ascii="Arial" w:cs="Arial" w:eastAsia="Arial" w:hAnsi="Arial"/>
                <w:sz w:val="13"/>
                <w:szCs w:val="13"/>
                <w:color w:val="auto"/>
              </w:rPr>
              <w:t>261,940</w:t>
            </w:r>
          </w:p>
        </w:tc>
        <w:tc>
          <w:tcPr>
            <w:tcW w:w="0" w:type="dxa"/>
            <w:vAlign w:val="bottom"/>
          </w:tcPr>
          <w:p>
            <w:pPr>
              <w:spacing w:after="0"/>
              <w:rPr>
                <w:sz w:val="1"/>
                <w:szCs w:val="1"/>
                <w:color w:val="auto"/>
              </w:rPr>
            </w:pPr>
          </w:p>
        </w:tc>
      </w:tr>
      <w:tr>
        <w:trPr>
          <w:trHeight w:val="50"/>
        </w:trPr>
        <w:tc>
          <w:tcPr>
            <w:tcW w:w="39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common stock upon exercise of options, and for</w:t>
            </w: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stock units</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1,287</w:t>
            </w:r>
          </w:p>
        </w:tc>
        <w:tc>
          <w:tcPr>
            <w:tcW w:w="220" w:type="dxa"/>
            <w:vAlign w:val="bottom"/>
          </w:tcPr>
          <w:p>
            <w:pPr>
              <w:spacing w:after="0"/>
              <w:rPr>
                <w:sz w:val="13"/>
                <w:szCs w:val="13"/>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14,564</w:t>
            </w:r>
          </w:p>
        </w:tc>
        <w:tc>
          <w:tcPr>
            <w:tcW w:w="26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14,564</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14,310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14,310</w:t>
            </w: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Arial" w:cs="Arial" w:eastAsia="Arial" w:hAnsi="Arial"/>
                <w:sz w:val="13"/>
                <w:szCs w:val="13"/>
                <w:color w:val="auto"/>
              </w:rPr>
              <w:t>Cumulative effect from adoption of ASU 2016-09</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249</w:t>
            </w: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7,908</w:t>
            </w:r>
          </w:p>
        </w:tc>
        <w:tc>
          <w:tcPr>
            <w:tcW w:w="2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8,157</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 ASU 2018-02</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w:t>
            </w:r>
          </w:p>
        </w:tc>
        <w:tc>
          <w:tcPr>
            <w:tcW w:w="2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47,362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47,362</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3"/>
                <w:szCs w:val="13"/>
                <w:color w:val="auto"/>
              </w:rPr>
              <w:t>Balance as of January 31, 2018</w:t>
            </w: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60,825</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7"/>
              <w:spacing w:after="0"/>
              <w:rPr>
                <w:sz w:val="20"/>
                <w:szCs w:val="20"/>
                <w:color w:val="auto"/>
              </w:rPr>
            </w:pPr>
            <w:r>
              <w:rPr>
                <w:rFonts w:ascii="Arial" w:cs="Arial" w:eastAsia="Arial" w:hAnsi="Arial"/>
                <w:sz w:val="13"/>
                <w:szCs w:val="13"/>
                <w:color w:val="auto"/>
              </w:rPr>
              <w:t>6</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261,237</w:t>
            </w:r>
          </w:p>
        </w:tc>
        <w:tc>
          <w:tcPr>
            <w:tcW w:w="26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(269)</w:t>
            </w:r>
          </w:p>
        </w:tc>
        <w:tc>
          <w:tcPr>
            <w:tcW w:w="2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85,300</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37"/>
              <w:spacing w:after="0"/>
              <w:rPr>
                <w:sz w:val="20"/>
                <w:szCs w:val="20"/>
                <w:color w:val="auto"/>
              </w:rPr>
            </w:pPr>
            <w:r>
              <w:rPr>
                <w:rFonts w:ascii="Arial" w:cs="Arial" w:eastAsia="Arial" w:hAnsi="Arial"/>
                <w:sz w:val="13"/>
                <w:szCs w:val="13"/>
                <w:color w:val="auto"/>
              </w:rPr>
              <w:t>346,274</w:t>
            </w:r>
          </w:p>
        </w:tc>
        <w:tc>
          <w:tcPr>
            <w:tcW w:w="0" w:type="dxa"/>
            <w:vAlign w:val="bottom"/>
          </w:tcPr>
          <w:p>
            <w:pPr>
              <w:spacing w:after="0"/>
              <w:rPr>
                <w:sz w:val="1"/>
                <w:szCs w:val="1"/>
                <w:color w:val="auto"/>
              </w:rPr>
            </w:pPr>
          </w:p>
        </w:tc>
      </w:tr>
      <w:tr>
        <w:trPr>
          <w:trHeight w:val="55"/>
        </w:trPr>
        <w:tc>
          <w:tcPr>
            <w:tcW w:w="3900" w:type="dxa"/>
            <w:vAlign w:val="bottom"/>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9" w:right="239" w:bottom="1440" w:gutter="0" w:footer="0" w:header="0"/>
        </w:sectPr>
      </w:pPr>
    </w:p>
    <w:bookmarkStart w:id="54" w:name="page55"/>
    <w:bookmarkEnd w:id="54"/>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08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47,362</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26,376</w:t>
            </w:r>
          </w:p>
        </w:tc>
        <w:tc>
          <w:tcPr>
            <w:tcW w:w="100" w:type="dxa"/>
            <w:vAlign w:val="bottom"/>
          </w:tcPr>
          <w:p>
            <w:pPr>
              <w:spacing w:after="0"/>
              <w:rPr>
                <w:sz w:val="18"/>
                <w:szCs w:val="18"/>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16,613</w:t>
            </w:r>
          </w:p>
        </w:tc>
      </w:tr>
      <w:tr>
        <w:trPr>
          <w:trHeight w:val="222"/>
        </w:trPr>
        <w:tc>
          <w:tcPr>
            <w:tcW w:w="7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15,952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8,601</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14,310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5,883</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Amortization of deferred financing costs and loss on other investments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22"/>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Changes in operating assets and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(5,174)</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2,475</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r>
      <w:tr>
        <w:trPr>
          <w:trHeight w:val="21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long-term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26,541</w:t>
            </w:r>
          </w:p>
        </w:tc>
      </w:tr>
      <w:tr>
        <w:trPr>
          <w:trHeight w:val="210"/>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marketable securities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(40,291)</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Purchase of property and equipment</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(2,376)</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software and capitalized software development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(6,896)</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Acquisition of intangible member assets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(17,545)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(40,489)</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a business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other investments</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16"/>
        </w:trPr>
        <w:tc>
          <w:tcPr>
            <w:tcW w:w="7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(36,748)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(90,552)</w:t>
            </w:r>
          </w:p>
        </w:tc>
      </w:tr>
      <w:tr>
        <w:trPr>
          <w:trHeight w:val="210"/>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follow-on offering, net of payments for offering costs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23,492</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exercise of common stock options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14,564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1,915</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from exercise of common stock options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11,557</w:t>
            </w:r>
          </w:p>
        </w:tc>
      </w:tr>
      <w:tr>
        <w:trPr>
          <w:trHeight w:val="210"/>
        </w:trPr>
        <w:tc>
          <w:tcPr>
            <w:tcW w:w="7080" w:type="dxa"/>
            <w:vAlign w:val="bottom"/>
          </w:tcPr>
          <w:p>
            <w:pPr>
              <w:ind w:left="180"/>
              <w:spacing w:after="0"/>
              <w:rPr>
                <w:sz w:val="20"/>
                <w:szCs w:val="20"/>
                <w:color w:val="auto"/>
              </w:rPr>
            </w:pPr>
            <w:r>
              <w:rPr>
                <w:rFonts w:ascii="Arial" w:cs="Arial" w:eastAsia="Arial" w:hAnsi="Arial"/>
                <w:sz w:val="14"/>
                <w:szCs w:val="14"/>
                <w:color w:val="auto"/>
              </w:rPr>
              <w:t>Deferred financing costs paid</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10"/>
        </w:trPr>
        <w:tc>
          <w:tcPr>
            <w:tcW w:w="7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cash provided by financing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14,564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23,776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36,647</w:t>
            </w:r>
          </w:p>
        </w:tc>
      </w:tr>
      <w:tr>
        <w:trPr>
          <w:trHeight w:val="210"/>
        </w:trPr>
        <w:tc>
          <w:tcPr>
            <w:tcW w:w="7080" w:type="dxa"/>
            <w:vAlign w:val="bottom"/>
          </w:tcPr>
          <w:p>
            <w:pPr>
              <w:ind w:left="80"/>
              <w:spacing w:after="0"/>
              <w:rPr>
                <w:sz w:val="20"/>
                <w:szCs w:val="20"/>
                <w:color w:val="auto"/>
              </w:rPr>
            </w:pPr>
            <w:r>
              <w:rPr>
                <w:rFonts w:ascii="Arial" w:cs="Arial" w:eastAsia="Arial" w:hAnsi="Arial"/>
                <w:sz w:val="14"/>
                <w:szCs w:val="14"/>
                <w:color w:val="auto"/>
              </w:rPr>
              <w:t>Increase (decrease) in cash and cash equivalents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59,518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56,313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(27,364)</w:t>
            </w: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Beginning cash and cash equivalents</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139,954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111,005</w:t>
            </w:r>
          </w:p>
        </w:tc>
      </w:tr>
      <w:tr>
        <w:trPr>
          <w:trHeight w:val="210"/>
        </w:trPr>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Ending cash and cash equivalents</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199,472</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139,954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83,641</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9" w:right="239" w:bottom="1440" w:gutter="0" w:footer="0" w:header="0"/>
        </w:sectPr>
      </w:pPr>
    </w:p>
    <w:bookmarkStart w:id="55" w:name="page56"/>
    <w:bookmarkEnd w:id="55"/>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16"/>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data:</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7060" w:type="dxa"/>
            <w:vAlign w:val="bottom"/>
          </w:tcPr>
          <w:p>
            <w:pPr>
              <w:ind w:left="180"/>
              <w:spacing w:after="0"/>
              <w:rPr>
                <w:sz w:val="20"/>
                <w:szCs w:val="20"/>
                <w:color w:val="auto"/>
              </w:rPr>
            </w:pPr>
            <w:r>
              <w:rPr>
                <w:rFonts w:ascii="Arial" w:cs="Arial" w:eastAsia="Arial" w:hAnsi="Arial"/>
                <w:sz w:val="14"/>
                <w:szCs w:val="14"/>
                <w:color w:val="auto"/>
              </w:rPr>
              <w:t>Interest expense paid in cash</w:t>
            </w:r>
          </w:p>
        </w:tc>
        <w:tc>
          <w:tcPr>
            <w:tcW w:w="5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2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paid in cash, net of refunds received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863</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1,356</w:t>
            </w:r>
          </w:p>
        </w:tc>
      </w:tr>
      <w:tr>
        <w:trPr>
          <w:trHeight w:val="210"/>
        </w:trPr>
        <w:tc>
          <w:tcPr>
            <w:tcW w:w="7060" w:type="dxa"/>
            <w:vAlign w:val="bottom"/>
          </w:tcPr>
          <w:p>
            <w:pPr>
              <w:ind w:left="4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intangible member assets accrued at period end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1,409</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Pr>
          <w:p>
            <w:pPr>
              <w:ind w:left="180"/>
              <w:spacing w:after="0"/>
              <w:rPr>
                <w:sz w:val="20"/>
                <w:szCs w:val="20"/>
                <w:color w:val="auto"/>
              </w:rPr>
            </w:pPr>
            <w:r>
              <w:rPr>
                <w:rFonts w:ascii="Arial" w:cs="Arial" w:eastAsia="Arial" w:hAnsi="Arial"/>
                <w:sz w:val="14"/>
                <w:szCs w:val="14"/>
                <w:color w:val="auto"/>
              </w:rPr>
              <w:t>Purchase price adjustment of acquired intangible members assets</w:t>
            </w:r>
          </w:p>
        </w:tc>
        <w:tc>
          <w:tcPr>
            <w:tcW w:w="5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2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 included in accounts payable or accrued liabilities at period end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194"/>
        </w:trPr>
        <w:tc>
          <w:tcPr>
            <w:tcW w:w="7060" w:type="dxa"/>
            <w:vAlign w:val="bottom"/>
          </w:tcPr>
          <w:p>
            <w:pPr>
              <w:ind w:left="180"/>
              <w:spacing w:after="0"/>
              <w:rPr>
                <w:sz w:val="20"/>
                <w:szCs w:val="20"/>
                <w:color w:val="auto"/>
              </w:rPr>
            </w:pPr>
            <w:r>
              <w:rPr>
                <w:rFonts w:ascii="Arial" w:cs="Arial" w:eastAsia="Arial" w:hAnsi="Arial"/>
                <w:sz w:val="14"/>
                <w:szCs w:val="14"/>
                <w:color w:val="auto"/>
              </w:rPr>
              <w:t>Purchases of software and capitalized software development costs included in accounts payable or accrued</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2"/>
        </w:trPr>
        <w:tc>
          <w:tcPr>
            <w:tcW w:w="7060" w:type="dxa"/>
            <w:vAlign w:val="bottom"/>
          </w:tcPr>
          <w:p>
            <w:pPr>
              <w:ind w:left="180"/>
              <w:spacing w:after="0"/>
              <w:rPr>
                <w:sz w:val="20"/>
                <w:szCs w:val="20"/>
                <w:color w:val="auto"/>
              </w:rPr>
            </w:pPr>
            <w:r>
              <w:rPr>
                <w:rFonts w:ascii="Arial" w:cs="Arial" w:eastAsia="Arial" w:hAnsi="Arial"/>
                <w:sz w:val="14"/>
                <w:szCs w:val="14"/>
                <w:color w:val="auto"/>
              </w:rPr>
              <w:t>liabilities at period end</w:t>
            </w:r>
          </w:p>
        </w:tc>
        <w:tc>
          <w:tcPr>
            <w:tcW w:w="5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6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330</w:t>
            </w:r>
          </w:p>
        </w:tc>
        <w:tc>
          <w:tcPr>
            <w:tcW w:w="5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9" w:right="239" w:bottom="1440" w:gutter="0" w:footer="0" w:header="0"/>
        </w:sectPr>
      </w:pPr>
    </w:p>
    <w:bookmarkStart w:id="56" w:name="page57"/>
    <w:bookmarkEnd w:id="56"/>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27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HealthEquity, Inc. was incorporated in the state of Delaware on September 18, 2002, and was organized to offer a full range of innovative solutions for managing health care accounts (Health Savings Accounts ("HSAs"), Health Reimbursement Arrangements ("HRAs"), and Flexible Spending Accounts ("FSAs")) for health plans, insurance companies, and third-party administrators.</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 allows HealthEquity, Inc. to hold custodial assets for individual account holders. On July 24,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according to Treasury Regulations section 1.408-2(e)(5)(ii)(B), the Company must maintain net worth (assets minus liabilities) greater than 2% of passive custodial funds held at each calendar year-end and 4% of the non-passive custodial funds held at each calendar year-end in order to take on additional custodial assets.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which contemplates the realization of assets and satisfaction of liabilities in the normal course of business. The financial statements and notes are representations of the Company's management, which is responsible for their integrity and objectivity. These accounting policies conform to accounting principles generally accepted in the United States of America and have been consistently applied in the preparation of the consolidated financial statements, except for the new accounting pronouncements, which were adopted during the year ended January 31, 2018 as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—The consolidated financial statements include the accounts of HealthEquity, Inc. and its wholly owned subsidiaries, HealthEquity Trust Company, HEQ Insurance Services, Inc., HealthEquity Advisors, LLC and HealthEquity Retirement Services, LLC (collectively referred to as the "Company").</w:t>
      </w:r>
    </w:p>
    <w:p>
      <w:pPr>
        <w:spacing w:after="0" w:line="9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the year ended January 31, 2015, the Company and an unrelated company formed a limited partnership for investment in and the management of early stage companies in the healthcare industry. The Company has a 22% ownership interest in such partnership that is accounted for using the equity method of accounting. The investment was approximately $206,000 as of January 31, 2018 and is included in other assets on the accompanying consolidated balance sheets.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year ended January 31, 2016, the Company purchased an approximate 2% ownership interest in a limited partnership that engages in the development of technology-based financial healthcare products. The Company determined there was no significant influence and therefore the investment was accounted for using the cost method of accounting. Under the cost method of accounting, the fair value of an investment is not estimated if there are no identified events or changes in circumstances that may have a significant adverse effect on the fair value of the investment. The investment was $500,000 as of January 31, 2018 and is included in other assets on the accompanying consolidated balance sheet.</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year ended January 31, 2017, the Company formed HealthEquity Trust Company, a Wyoming corporation and non-depository trust company, to act as the master custodian of all investment assets held in HSAs administered by the Company.</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year ended January 31, 2018, the Company formed HealthEquity Retirement Services, LLC, a Delaware limited liability company, to acquire and own the assets of BenefitGuard LLC and provide ERISA plan fiduciary services.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32"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3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Cash, cash equivalents</w:t>
      </w: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—Marketable securities consist primarily of mutual funds invested in corporate bonds, U.S. government agency securities, U.S. treasury bills, commercial paper, certificates of deposit, municipal notes, and bonds with original maturities beyond three months at the time of purchase. Marketable securities are classified as available-for-sale, held-to-maturity, or trading at the date of purchase. As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of January 31, 2018, all marketable securities have been classified as available-for-sale. The Company may sell these securities at any time for use in current operations or for other purposes even if they have not yet reached maturity. As a result, the Company classifies its marketable securities, including securities with maturities beyond twelve months, as current assets in the accompanying consolidated balance sheets. All marketable securities are recorded at their estimated fair value. Unrealized gains and losses for available-for-sale securities are recorded in other comprehensive income, net of the related tax effect. The Company evaluates its marketable securities to assess whether those with unrealized loss positions are other-than-temporarily impaired. The Company considers impairments to be other than temporary if they are related to deterioration in credit risk or if it is likely it will sell the securities before the recovery of their cost basis. Realized gains and losses and declines in value judged to be other-than-temporary are determined based on the specific identification method and are reported in other expense, net in the consolidated statements of operations and comprehensive income.</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represent monies due to the Company for monthly service revenue, custodial revenue and interchange revenue. As of January 31, 2018, accounts receivable consisted of $7.9 million of service revenue, $9.0 million of custodial revenue, and $4.7 million of interchange revenue. The Company maintains an allowance for doubtful accounts to reserve for potentially uncollectible receivable amounts. In evaluating the Company’s ability to collect outstanding receivable balances, the Company considers various factors including the age of the balance, the creditworthiness of the customer, which is assessed based on ongoing credit evaluations and payment history, and the customer’s current financial condition. As of January 31, 2018 and 2017, the Company had allowance for doubtful accounts of $208,000 and $75,000, respectively.</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—Inventories consist of new member and participant supplies and are recorded at the lower of cost or market using an average cost basis.</w:t>
      </w:r>
    </w:p>
    <w:p>
      <w:pPr>
        <w:spacing w:after="0" w:line="8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u w:val="single" w:color="auto"/>
          <w:color w:val="auto"/>
        </w:rPr>
        <w:t>Other assets</w:t>
      </w:r>
      <w:r>
        <w:rPr>
          <w:rFonts w:ascii="Arial" w:cs="Arial" w:eastAsia="Arial" w:hAnsi="Arial"/>
          <w:sz w:val="18"/>
          <w:szCs w:val="18"/>
          <w:color w:val="auto"/>
        </w:rPr>
        <w:t>—Other assets consist primarily of prepaid expenditures, income tax receivables, and various other assets. Amounts expected to be recouped or recognized over a period of twelve months or less have been classified as current in the accompanying consolidated balance sheets.</w:t>
      </w:r>
    </w:p>
    <w:p>
      <w:pPr>
        <w:spacing w:after="0" w:line="94"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5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years</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5260" w:type="dxa"/>
            <w:vAlign w:val="bottom"/>
          </w:tcPr>
          <w:p>
            <w:pPr>
              <w:jc w:val="right"/>
              <w:spacing w:after="0"/>
              <w:rPr>
                <w:sz w:val="20"/>
                <w:szCs w:val="20"/>
                <w:color w:val="auto"/>
              </w:rPr>
            </w:pPr>
            <w:r>
              <w:rPr>
                <w:rFonts w:ascii="Arial" w:cs="Arial" w:eastAsia="Arial" w:hAnsi="Arial"/>
                <w:sz w:val="16"/>
                <w:szCs w:val="16"/>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u w:val="single" w:color="auto"/>
          <w:color w:val="auto"/>
        </w:rPr>
        <w:t>Capitalized software development costs</w:t>
      </w:r>
      <w:r>
        <w:rPr>
          <w:rFonts w:ascii="Arial" w:cs="Arial" w:eastAsia="Arial" w:hAnsi="Arial"/>
          <w:sz w:val="18"/>
          <w:szCs w:val="18"/>
          <w:color w:val="auto"/>
        </w:rPr>
        <w:t>—We account for the costs of computer software developed or obtained for internal use in accordance with Accounting Standards Codification (“ASC”) 350-40, “Internal-Use Software.”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 See Note 5—Intangible Assets and Goodwill for additional information.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Intangible assets, net</w:t>
      </w:r>
      <w:r>
        <w:rPr>
          <w:rFonts w:ascii="Arial" w:cs="Arial" w:eastAsia="Arial" w:hAnsi="Arial"/>
          <w:sz w:val="18"/>
          <w:szCs w:val="18"/>
          <w:color w:val="auto"/>
        </w:rPr>
        <w:t>—Intangible assets are carried at cost and amortized, typically, on a straight-line basis over their estimated useful lives, which is 3-5 years for capitalized software development costs and acquired technology rights, 10 years for 401(k) customer relationships, or other intangible assets, and 15 years for certain acquired HSA intangible member assets. The acquired intangible member assets are the result of various acquisitions of HSA portfolios. A significant portion of the purchase price from each acquisition has been allocated to the acquired HSA assets, which consists of the contractual rights to administer the activities related to the individual health savings accounts acquired. The Company analyzed the historical attrition and depletion rates of member accounts and determined that an average useful life of 15 years and the use of a straight-line amortization method are appropriate to reflect the pattern over which the economic benefits of existing member assets are realized. 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There have been no impairment charges recorded in any of the periods presented in the accompanying consolidated financial statements. See Note 5—Intangible Assets and Goodwill for additional information.</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two-step process. The first step involves comparing the Company's market capitalization to the carrying value of the reporting unit, including goodwill. If the carrying value of the reporting unit exceeds its fair value, the second step of the test is performed by comparing the carrying value of the goodwill in the reporting unit to its implied fair value. An impairment charge is recognized for the excess of the carrying value of goodwill over its implied fair value.</w:t>
      </w:r>
    </w:p>
    <w:p>
      <w:pPr>
        <w:spacing w:after="0" w:line="9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Self insurance</w:t>
      </w:r>
      <w:r>
        <w:rPr>
          <w:rFonts w:ascii="Arial" w:cs="Arial" w:eastAsia="Arial" w:hAnsi="Arial"/>
          <w:sz w:val="18"/>
          <w:szCs w:val="18"/>
          <w:color w:val="auto"/>
        </w:rPr>
        <w:t>—The Company is self-insured for medical insurance up to certain annual stop-loss limits. The Company establishes a liability as of the balance sheet date for claims, both reported and incurred but not reported, using currently available information as well as historical claims experience, and as determined by an independent third party.</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auto"/>
        </w:rPr>
        <w:t>Other long-term liabilities</w:t>
      </w:r>
      <w:r>
        <w:rPr>
          <w:rFonts w:ascii="Arial" w:cs="Arial" w:eastAsia="Arial" w:hAnsi="Arial"/>
          <w:sz w:val="18"/>
          <w:szCs w:val="18"/>
          <w:color w:val="auto"/>
        </w:rPr>
        <w:t>—The Company recognizes rental expense for its office lease on a straight-line basis over the lease term. Other long-term liabilities includes deferred rent, which represents the difference between actual operating lease payments due and straight-line rent expense. The excess is recorded as a deferred credit in the early periods of the lease, when cash payments are generally lower than straight-line rent expense, and is reduced in the later periods of the lease when payments begin to exceed the straight-line expense.</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u w:val="single" w:color="auto"/>
          <w:color w:val="auto"/>
        </w:rPr>
        <w:t>Follow-on offering</w:t>
      </w:r>
      <w:r>
        <w:rPr>
          <w:rFonts w:ascii="Arial" w:cs="Arial" w:eastAsia="Arial" w:hAnsi="Arial"/>
          <w:sz w:val="18"/>
          <w:szCs w:val="18"/>
          <w:color w:val="auto"/>
        </w:rPr>
        <w:t>—On May 11, 2015, the Company closed its follow-on public offering and sold 972,500 shares of common stock at a public offering price of $25.90 per share, less the underwriters' discount. Certain selling stockholders sold 3,455,000 shares of common stock in the offering, including 380,000 shares of common stock which were issued upon the exercise of outstanding options. The Company received net proceeds of approximately $23.5 million after deducting underwriting discounts and commissions of approximately $ 1.0 million and other offering expenses payable by the Company of approximately $688,000. The Company did not receive any proceeds from the sale of shares by the selling stockholders other than $222,000 representing the exercise price of the options that were exercised in connection with the offering.</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—On July 14, 2014, the Company's board of directors approved an amended and restated certificate of incorporation, pursuant to which the total number of shares of all classes of capital stock that the Company is authorized to issue is 1,000,000,000 shares, including 900,000,000 shares of common stock and 100,000,000 shares of preferred stock, par value $0.0001 per share. The amended and restated certificate of incorporation was filed with the Secretary of State of the State of Delaware and became effective on August 5, 2014 in connection with the completion of the initial public offering.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—The Company recognizes revenue when persuasive evidence of an arrangement exists, services have been provided, the price of services is fixed or determinable, and collection is reasonably assured. The Company earns revenue primarily from service revenue, custodial revenue, interchange revenue.</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earns service revenue from the fees paid by health plan partners, employer partners or individual members for administration services provided in connection with the tax-advantaged HSAs, HRAs and FSAs the Company administers. These fees are generally based on a tiered structure fixed for the duration of the contract agreement with health plan or employer partners, which is typically three to five years. The fees are paid on a monthly basis and revenue is recognized monthly as services are rendered under the Company’s written service agreements. In addition, the Company earns service revenue from fees paid by employer partners and plan participants in connection with plan administrator and named fiduciary services for 401(k) employer sponsors. The fees are paid on a quarterly basis and revenue is recognized in the month in which it is earned.</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earns custodial revenue from HSA custodial assets on behalf of its customers. As a non-bank custodian, the Company deposits HSA cash with various custodial financial institutions having contract terms from three to five years and either a fixed or variable interest rate. These deposits are eligible for FDIC insurance for each individual HSA. The Company also invests HSA cash in an annuity contract with a insurance company partner. HSA investment balances are deposited with the custodial investment partner from whom the Company receives an administrative and recordkeeping fee. The Company recognizes this revenue in the month in which it is earned.</w:t>
      </w:r>
    </w:p>
    <w:p>
      <w:pPr>
        <w:spacing w:after="0" w:line="97"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Company earns interchange revenue from card transactions when members are paying their healthcare claims using a card issued by the Company. The Company recognizes this revenue in the month in which it is earned. Amounts collected in excess of revenue recognized for the period are recorded as deferred revenue and reported as accrued liabilities and other long-term liabilities on the consolidated balance sheet.</w:t>
      </w:r>
    </w:p>
    <w:p>
      <w:pPr>
        <w:spacing w:after="0" w:line="7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u w:val="single" w:color="auto"/>
          <w:color w:val="auto"/>
        </w:rPr>
        <w:t>Cost of revenue</w:t>
      </w:r>
      <w:r>
        <w:rPr>
          <w:rFonts w:ascii="Arial" w:cs="Arial" w:eastAsia="Arial" w:hAnsi="Arial"/>
          <w:sz w:val="18"/>
          <w:szCs w:val="18"/>
          <w:color w:val="auto"/>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Company’s related member account servicing departments. Other components of the Company’s cost of revenue sold include interest retained by members on custodial assets held and interchange costs incurred in connection with processing card transactions initiated by members.</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—For stock options granted to team members, the Company recognizes compensation expense for all stock-based awards based on the grant date estimated fair value.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Stock-based compensation expense related to stock options granted to non-team members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9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For awards with performance conditions, we evaluate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FASB ASC Topic 718,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 stock option, common shares are issued from authorized, but not outstanding, common stock.</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Stock-based compensation expense related to restricted stock units is recognized based on the current value of the Company's closing stock price on the date of grant less the present value of future expected dividends discounted at the risk-free interest rate. Expense for restricted stock units is recognized on a straight-line basis over the requisite service period.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0"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37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Income tax provision</w:t>
      </w:r>
      <w:r>
        <w:rPr>
          <w:rFonts w:ascii="Arial" w:cs="Arial" w:eastAsia="Arial" w:hAnsi="Arial"/>
          <w:sz w:val="18"/>
          <w:szCs w:val="18"/>
          <w:color w:val="auto"/>
        </w:rPr>
        <w:t>—The Company accounts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After weighing both the positive and negative evidence, the Company believes that it is more likely than not that all deferred tax assets will be realized as of January 31, 2018.</w:t>
      </w:r>
    </w:p>
    <w:p>
      <w:pPr>
        <w:spacing w:after="0" w:line="9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uses the tax law ordering approach of intraperiod allocation in determining when excess tax benefits have been realized for provisions of the tax law that identify the sequence in which those amounts are utilized for tax purposes.The Company has also elected to exclude the indirect tax effects of share-based compensation deductions in computing the income tax provision recorded within the Consolidated Statement of Operations and Comprehensive Income. Also, we use the portfolio approach in releasing income tax effects from accumulated other comprehensive income.</w:t>
      </w:r>
    </w:p>
    <w:p>
      <w:pPr>
        <w:spacing w:after="0" w:line="9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The Company recognizes interest and penalties, if any, related to unrecognized tax benefits as a component of other expense in the Consolidated Statements of Operations and Comprehensive Income. Significant judgment is required to evaluate uncertain tax positions. Changes in facts and circumstances could have a material impact on the Company’s effective tax rate and results of operations.</w:t>
      </w:r>
    </w:p>
    <w:p>
      <w:pPr>
        <w:spacing w:after="0" w:line="9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—Comprehensive income is defined as a change in equity of a business enterprise during a period, resulting from transactions from non-owner sources, including unrealized gains and losses on marketable securities.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Asset acquisitions</w:t>
      </w:r>
      <w:r>
        <w:rPr>
          <w:rFonts w:ascii="Arial" w:cs="Arial" w:eastAsia="Arial" w:hAnsi="Arial"/>
          <w:sz w:val="18"/>
          <w:szCs w:val="18"/>
          <w:color w:val="auto"/>
        </w:rPr>
        <w:t>—During the years ended January 31, 2018, the Company acquired the rights to be the custodian of two HSA portfolios and rights to act as sole administrator of one portfolio. During the year ended January 31, 2016, the Company acquired the rights to be the custodian of two HSA portfolios. The purchased group of assets for the transactions did not include workforce or any processes and therefore did not constitute a business. Accordingly, the acquisitions were accounted for under the asset acquisition method of accounting in accordance with ASC 805-50, Business Combinations—Related Issues. Under the asset acquisition method of accounting, the Company is required to fair value the assets transferred. The cost of the assets acquired is allocated to the individual assets acquired based on their relative fair values and does not give rise to goodwill. The purchase price was allocated to acquired intangible member assets. Furthermore, transaction costs that are incurred in conjunction with an asset acquisition are allocated to the acquired intangible member assets.</w:t>
      </w:r>
    </w:p>
    <w:p>
      <w:pPr>
        <w:spacing w:after="0" w:line="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Business combinations</w:t>
      </w:r>
      <w:r>
        <w:rPr>
          <w:rFonts w:ascii="Arial" w:cs="Arial" w:eastAsia="Arial" w:hAnsi="Arial"/>
          <w:sz w:val="18"/>
          <w:szCs w:val="18"/>
          <w:color w:val="auto"/>
        </w:rPr>
        <w:t>—Acquisition-related expenses incurred in conjunction with the acquisition of a business as defined by ASC 805-10 are recognized in earnings in the period in which they are incurred and are included in other expense, net on the consolidated statement of operations. During the years ended January 31, 2018, 2017 and 2016, the Company incurred an expense of $2.2 million, $631,000, and $471,000, respectively, for acquisition-related activity. There were no such business combinations during the years ended January 31, 2017 and 2016.</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Concentration of market risk</w:t>
      </w:r>
      <w:r>
        <w:rPr>
          <w:rFonts w:ascii="Arial" w:cs="Arial" w:eastAsia="Arial" w:hAnsi="Arial"/>
          <w:sz w:val="18"/>
          <w:szCs w:val="18"/>
          <w:color w:val="auto"/>
        </w:rPr>
        <w:t>—The Company derives a substantial portion of its revenue from providing services for healthcare accounts. A significant downturn in this market or changes in state and/or federal laws impacting the preferential tax treatment of healthcare accounts could have a material adverse effect on the Company’s results 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40"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37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operations. For the years ended January 31, 2018, 2017 and 2016, no one customer accounted for greater than 10% of revenue or accounts receivable.</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Concentration of credit risk</w:t>
      </w:r>
      <w:r>
        <w:rPr>
          <w:rFonts w:ascii="Arial" w:cs="Arial" w:eastAsia="Arial" w:hAnsi="Arial"/>
          <w:sz w:val="18"/>
          <w:szCs w:val="18"/>
          <w:color w:val="auto"/>
        </w:rPr>
        <w:t>—Financial instruments, which potentially subject the Company to concentrations of credit risk, consist primarily of cash. The Company maintains its cash and cash equivalents in bank and other depository accounts, which, at times, may exceed federally insured limits. The Company’s cash and cash equivalents held in banks as of January 31, 2018 was $199.5 million, of which $750,000 was covered by federal depository insurance. The Company has not experienced any losses in such accounts and believes it is not exposed to any significant credit risk on cash. The Company’s accounts receivable balance as of January 31, 2018 was $21.6 million. The Company has not experienced any significant write-offs to accounts receivable and believes that it is not exposed to significant credit risk with respect to accounts receivable.</w:t>
      </w:r>
    </w:p>
    <w:p>
      <w:pPr>
        <w:spacing w:after="0" w:line="9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—The Company has entered into depository agreements with financial institutions for its custodial cash deposits. The contracted interest rates were negotiated at the time the depository agreements were executed. A significant reduction in prevailing interest rates may make it difficult for the Company to continue to place custodial deposits at the current contracted rates.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accrued compensation, accrued liabilities, grant date fair value of stock options and income taxes. Actual results could differ from those estimates.</w:t>
      </w:r>
    </w:p>
    <w:p>
      <w:pPr>
        <w:spacing w:after="0" w:line="1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u w:val="single" w:color="auto"/>
          <w:color w:val="auto"/>
        </w:rPr>
        <w:t>Recent adopted accounting pronouncements</w:t>
      </w:r>
      <w:r>
        <w:rPr>
          <w:rFonts w:ascii="Arial" w:cs="Arial" w:eastAsia="Arial" w:hAnsi="Arial"/>
          <w:sz w:val="18"/>
          <w:szCs w:val="18"/>
          <w:color w:val="auto"/>
        </w:rPr>
        <w:t xml:space="preserve">—In February 2018, the Financial Accounting Standards Board (the "FASB") issued Accounting Standards Update ("ASU")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which gives companies the option to reclassify between accumulated other comprehensive income ("AOCI") and retained earnings the income tax rate differential that has become stranded in AOCI as a result of the enactment of the Tax Cuts and Jobs Act and the revaluation of certain deferred tax assets and liabilities at the new federal income tax rate of 21%. This ASU is effective for fiscal years beginning after December 15, 2018, and interim periods within those fiscal years. Early adoption is permitted. The Company has elected to early adopt this ASU in the fourth quarter of fiscal year 2018. As a result of adopting this standard, the reclassification of the income tax effects of this tax reform resulted in an increase to retained earnings and a decrease to AOCI in the amount of $45,000 related to the decrease in the federal corporate tax rate. The Company's policy is to use the portfolio approach in releasing income tax effects from AOCI.</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requires excess tax benefits and tax deficiencies to be recognized in the Statement of Operations and Comprehensive Income, which were previously presented as a component of stockholders' equity, on a prospective basis. In addition, any excess tax benefits that were not previously recognized because the related tax deduction had not reduced current taxes payable are to be recorded on a modified retrospective basis through a cumulative-effect adjustment to retained earnings. This ASU also requires cash flows related to excess tax benefits to be classified as an operating activity on the statement of cash flows prospectively. Finally, this ASU no longer allows tax benefits to be included in the assumed proceeds when applying the treasury stock method for computing diluted weighted-average common shares outstanding, which results in share-based awards having a more dilutive effect on net income per diluted share.</w:t>
      </w:r>
    </w:p>
    <w:p>
      <w:pPr>
        <w:spacing w:after="0" w:line="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adopted this ASU during the three months ended April 30, 2017. As required by the standard, excess tax benefits recognized on stock-based compensation expense are reflected in our consolidated statements of operations and comprehensive income as a component of the provision for income taxes rather than additional paid-in capital on a prospective basis. For the year ended January 31, 2018, the Company recorded excess tax benefits of $14.1 million within our provision for income taxes in the consolidated statements of operations and comprehensive income. In addition, any excess tax benefits that were not previously recognized because the related tax deduction had not reduced current taxes payable are to be recorded on a modified retrospective basis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37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through a cumulative-effect adjustment to retained earnings as of the beginning of the period of adoption, which resulted in an increase of $8.1 million to our retained earnings as of February 1, 2017.</w:t>
      </w:r>
    </w:p>
    <w:p>
      <w:pPr>
        <w:spacing w:after="0" w:line="8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For presentation requirements, the Company elected to prospectively apply the change in the presentation of excess tax benefits wherein excess tax benefits recognized on stock-based compensation are classified as operating activities on the consolidated statements of cash flows for year ended January 31, 2018. Prior period classification of cash flows related to excess tax benefits were not adjusted. Further, the Company elected to adopt the forfeiture provisions of this ASU, which allows the Company to account for forfeitures as they occur. The adoption of the forfeiture provisions had no material impact on the consolidated financial statements.</w:t>
      </w:r>
    </w:p>
    <w:p>
      <w:pPr>
        <w:spacing w:after="0" w:line="7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which provides a more robust framework to use in determining when a set of assets and activities is a business. This ASU is effective for fiscal years beginning after December 15, 2017, and interim periods within those fiscal years. Early adoption is permitted. The new guidance is required to be applied on a prospective basis. The Company adopted this ASU during the three months ended July 31, 2017. The adoption had no material impact on the Company's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issued accounting pronouncements</w:t>
      </w:r>
      <w:r>
        <w:rPr>
          <w:rFonts w:ascii="Arial" w:cs="Arial" w:eastAsia="Arial" w:hAnsi="Arial"/>
          <w:sz w:val="18"/>
          <w:szCs w:val="18"/>
          <w:color w:val="auto"/>
        </w:rPr>
        <w:t>—On May 28, 2014, the FASB issued ASU 2014-09 and related subsequent</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amendments,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This ASU will replace most existing revenue recognition guidance in GAAP when it becomes effective. In July 2015, the FASB voted to defer the effective date to fiscal years, and interim periods within those fiscal years, beginning after December 15, 2017. The standard permits the use of either the retrospective or cumulative effect transition method. The adoption of the preceding standard is not expected to have a material impact on the Company's revenue.</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expects to capitalize incremental contract acquisition costs, such as sales commissions included in sales and marketing expenses in the consolidated statement of operations, and amortize these costs over the average economic life of an HSA Member. The Company's current practice is to expense sales commissions when the member is added to the Company's platform. The Company expects the adoption to have a significant impact on its consolidated financial statements. The Company will use the cumulative effect transition method and does not plan to early adopt these pronouncements.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Recognition and Measurement of Financial Assets and Liabilities</w:t>
      </w:r>
      <w:r>
        <w:rPr>
          <w:rFonts w:ascii="Arial" w:cs="Arial" w:eastAsia="Arial" w:hAnsi="Arial"/>
          <w:sz w:val="18"/>
          <w:szCs w:val="18"/>
          <w:color w:val="auto"/>
        </w:rPr>
        <w:t>. The amendments in this ASU revise an entity's accounting related to the classification and measurement of investments in equity securities and the presentation of certain fair value changes for financial liabilities measured at fair value. This ASU also amends certain disclosure requirements associated with the fair value of financial instruments. The amendments in this ASU are effective for annual periods, and interim periods within those annual periods, beginning after December 15, 2017. Early adoption is permitted for the presentation of certain fair value changes for financial liabilities measured at fair value. The Company does not plan to early adopt. The Company expects to recognize its unrealized holding gains and losses on its marketable securities in other expense, net on the consolidated statement of operations, rather than through other comprehensive income.</w:t>
      </w:r>
    </w:p>
    <w:p>
      <w:pPr>
        <w:spacing w:after="0" w:line="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which sets out the principles for the recognition, measurement, presentation and disclosure for both parties to a contract (i.e. lessees and lessors). ASC 842 supersedes the previous leases standard, ASC 840 leases. This ASU is effective for financial statements issued for reporting periods beginning after December 15, 2018 and requires a modified retrospective transition, and provides for certain practical expedients; early adoption is permitted. The Company does not plan to early adopt and is currently evaluating the potential effect of this ASU on the consolidated financial statements.</w:t>
      </w:r>
    </w:p>
    <w:p>
      <w:pPr>
        <w:spacing w:after="0" w:line="7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which requires financial assets measured at amortized cost be presented at the net amount expected to be collected. This ASU is effective for fiscal years beginning after December 15, 2019, including interim periods within those fiscal years. Early adoption is permitted. The Company does not plan to early adopt this ASU. The Company believes the adoption of this ASU will have an immaterial impact on its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0"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35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 which provides guidance on the classification of certain cash receipts and cash payments. This ASU is effective for fiscal years beginning after December 15, 2017, and interim periods within those fiscal years. The Company believes the adoption of this ASU will not have a material impact on its consolidated financial statements.</w:t>
      </w:r>
    </w:p>
    <w:p>
      <w:pPr>
        <w:spacing w:after="0" w:line="68"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 Intra-Entity Transfers of Assets Other Than Inventory</w:t>
      </w:r>
      <w:r>
        <w:rPr>
          <w:rFonts w:ascii="Arial" w:cs="Arial" w:eastAsia="Arial" w:hAnsi="Arial"/>
          <w:sz w:val="17"/>
          <w:szCs w:val="17"/>
          <w:color w:val="auto"/>
        </w:rPr>
        <w:t>, which updates the accounting for the income tax consequences of intra-entity transfers of assets other than inventory. This ASU is effective for fiscal years beginning after December 15, 2017, and interim periods within those fiscal years. The Company will adopt this ASU during the three months ended April 30, 2018 and believes the adoption of this ASU will have an immaterial impact on its consolidated financial statements.</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step two from the goodwill impairment test. As a result, an entity should perform its annual goodwill impairment test by comparing the fair value of a reporting unit with its carrying amount and should recognize an impairment charge for the amount by which the carrying amount exceeds the reporting units' fair value. This ASU is effective for fiscal years beginning December 15, 2019, and interim periods within those fiscal years. Early adoption is permitted. The Company is currently evaluating the timing of adoption; however, it believes the adoption this ASU will not have a material impact on the Company's consolidated financial statements.</w:t>
      </w:r>
    </w:p>
    <w:p>
      <w:pPr>
        <w:spacing w:after="0" w:line="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which provides guidance about changes to the terms or conditions of a share-based payment award. This ASU is effective for fiscal years beginning after December 15, 2017, and interim periods within those fiscal years. The standard should be applied prospectively to an award modified on or after the adoption date. The Company does not expect the adoption of this ASU to have a significant impact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83"/>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(basic and diluted):</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6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47,362</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26,376</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16,613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(basic):</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60,304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56,719</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(diluted):</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640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56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60,304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58,615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56,719</w:t>
            </w:r>
          </w:p>
        </w:tc>
      </w:tr>
      <w:tr>
        <w:trPr>
          <w:trHeight w:val="273"/>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dilutive effect of stock options and restricted stock units</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2,144</w:t>
            </w:r>
          </w:p>
        </w:tc>
      </w:tr>
      <w:tr>
        <w:trPr>
          <w:trHeight w:val="25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61,854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59,894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58,863</w:t>
            </w:r>
          </w:p>
        </w:tc>
      </w:tr>
      <w:tr>
        <w:trPr>
          <w:trHeight w:val="257"/>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per share: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6400" w:type="dxa"/>
            <w:vAlign w:val="bottom"/>
          </w:tcPr>
          <w:p>
            <w:pPr>
              <w:ind w:left="280"/>
              <w:spacing w:after="0"/>
              <w:rPr>
                <w:sz w:val="20"/>
                <w:szCs w:val="20"/>
                <w:color w:val="auto"/>
              </w:rPr>
            </w:pPr>
            <w:r>
              <w:rPr>
                <w:rFonts w:ascii="Arial" w:cs="Arial" w:eastAsia="Arial" w:hAnsi="Arial"/>
                <w:sz w:val="16"/>
                <w:szCs w:val="16"/>
                <w:color w:val="auto"/>
              </w:rPr>
              <w:t>Basic</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0.29</w:t>
            </w:r>
          </w:p>
        </w:tc>
      </w:tr>
      <w:tr>
        <w:trPr>
          <w:trHeight w:val="273"/>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r>
    </w:tbl>
    <w:p>
      <w:pPr>
        <w:spacing w:after="0" w:line="21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For the years ended January 31, 2018, 2017 and 2016, approximately 602,000,1.4 million, and 791,000 shares, respectively, attributable to outstanding stock options and restricted stock units were excluded from the calculation of diluted earnings per share as their inclusion would have been anti-dilutive.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Cash, cash equivalents and marketable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marketable securities as of January 31, 2018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92075</wp:posOffset>
            </wp:positionV>
            <wp:extent cx="72294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Gross</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Cost basis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199,472</w:t>
            </w:r>
          </w:p>
        </w:tc>
      </w:tr>
      <w:tr>
        <w:trPr>
          <w:trHeight w:val="233"/>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Mutual funds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41,153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40,797</w:t>
            </w:r>
          </w:p>
        </w:tc>
      </w:t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cash, cash equivalents and marketable securities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240,625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240,269</w:t>
            </w:r>
          </w:p>
        </w:tc>
      </w:tr>
      <w:tr>
        <w:trPr>
          <w:trHeight w:val="324"/>
        </w:trPr>
        <w:tc>
          <w:tcPr>
            <w:tcW w:w="8580" w:type="dxa"/>
            <w:vAlign w:val="bottom"/>
            <w:gridSpan w:val="8"/>
          </w:tcPr>
          <w:p>
            <w:pPr>
              <w:spacing w:after="0"/>
              <w:rPr>
                <w:sz w:val="20"/>
                <w:szCs w:val="20"/>
                <w:color w:val="auto"/>
              </w:rPr>
            </w:pPr>
            <w:r>
              <w:rPr>
                <w:rFonts w:ascii="Arial" w:cs="Arial" w:eastAsia="Arial" w:hAnsi="Arial"/>
                <w:sz w:val="18"/>
                <w:szCs w:val="18"/>
                <w:color w:val="auto"/>
              </w:rPr>
              <w:t>Cash, cash equivalents and marketable securities as of January 31, 2017 consisted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154305</wp:posOffset>
            </wp:positionV>
            <wp:extent cx="72294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Gross</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Cost basis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139,954</w:t>
            </w:r>
          </w:p>
        </w:tc>
      </w:tr>
      <w:tr>
        <w:trPr>
          <w:trHeight w:val="233"/>
        </w:trPr>
        <w:tc>
          <w:tcPr>
            <w:tcW w:w="56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6"/>
        </w:trPr>
        <w:tc>
          <w:tcPr>
            <w:tcW w:w="5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Mutual funds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40,670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40,405</w:t>
            </w:r>
          </w:p>
        </w:tc>
      </w:tr>
      <w:tr>
        <w:trPr>
          <w:trHeight w:val="2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cash, cash equivalents and marketable securities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180,624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180,359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cost basis and fair value of the marketable securities by contractual maturity as of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160655</wp:posOffset>
            </wp:positionV>
            <wp:extent cx="72294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Cost basis</w:t>
            </w: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year or less</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25,664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25,590</w:t>
            </w:r>
          </w:p>
        </w:tc>
      </w:tr>
      <w:tr>
        <w:trPr>
          <w:trHeight w:val="23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Over one year and less than five years</w:t>
            </w:r>
          </w:p>
        </w:tc>
        <w:tc>
          <w:tcPr>
            <w:tcW w:w="7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15,489</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15,207</w:t>
            </w:r>
          </w:p>
        </w:tc>
      </w:tr>
      <w:tr>
        <w:trPr>
          <w:trHeight w:val="237"/>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41,153</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40,797</w:t>
            </w:r>
          </w:p>
        </w:tc>
      </w:tr>
    </w:tbl>
    <w:p>
      <w:pPr>
        <w:spacing w:after="0" w:line="10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Unrealized losses from marketable securities are primarily attributable to change in interest rates. The Company does not believe any remaining unrealized losses represent other-than-temporary impairments based on the Company's evaluation of available evidence as of January 31, 2018. As of January 31, 2018, marketable securities with an unrealized loss position for more than twelve consecutive months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147320</wp:posOffset>
            </wp:positionV>
            <wp:extent cx="72034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Less than one year</w:t>
            </w: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Greater than one year</w:t>
            </w:r>
          </w:p>
        </w:tc>
      </w:tr>
      <w:tr>
        <w:trPr>
          <w:trHeight w:val="25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Unrealized losses</w:t>
            </w: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Unrealized losses</w:t>
            </w:r>
          </w:p>
        </w:tc>
      </w:tr>
      <w:tr>
        <w:trPr>
          <w:trHeight w:val="237"/>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Mutual funds</w:t>
            </w:r>
          </w:p>
        </w:tc>
        <w:tc>
          <w:tcPr>
            <w:tcW w:w="20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25,590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Property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January 31, 2018</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January 31, 2017</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3,129</w:t>
            </w: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8,174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7,194</w:t>
            </w:r>
          </w:p>
        </w:tc>
      </w:tr>
      <w:tr>
        <w:trPr>
          <w:trHeight w:val="227"/>
        </w:trPr>
        <w:tc>
          <w:tcPr>
            <w:tcW w:w="7440" w:type="dxa"/>
            <w:vAlign w:val="bottom"/>
          </w:tcPr>
          <w:p>
            <w:pPr>
              <w:ind w:left="180"/>
              <w:spacing w:after="0"/>
              <w:rPr>
                <w:sz w:val="20"/>
                <w:szCs w:val="20"/>
                <w:color w:val="auto"/>
              </w:rPr>
            </w:pPr>
            <w:r>
              <w:rPr>
                <w:rFonts w:ascii="Arial" w:cs="Arial" w:eastAsia="Arial" w:hAnsi="Arial"/>
                <w:sz w:val="16"/>
                <w:szCs w:val="16"/>
                <w:color w:val="auto"/>
              </w:rPr>
              <w:t>Property and equipment, gross</w:t>
            </w:r>
          </w:p>
        </w:tc>
        <w:tc>
          <w:tcPr>
            <w:tcW w:w="3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11,183</w:t>
            </w: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r>
      <w:tr>
        <w:trPr>
          <w:trHeight w:val="230"/>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January 31, 2018, 2017 and 2016 was $2.8 million, $2.0 million and $1.5 million,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Intangible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year ended January 31, 2018, the Company acquired the right to act as custodian of a portfolio of HSA Members for $ 6.4 million. The cost, including transaction costs, was allocated to acquired intangible member assets as of January 31, 2018. The Company has determined the acquired intangible member assets to have a useful life of 15 years. The assets are being amortized using the straight-line amortization method, which has been determined appropriate to reflect the pattern over which the economic benefits of existing member assets are realized.</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year ended January 31, 2018, the Company acquired the rights to be the sole administrator of a portfolio of HSA Members for $3.3 million.</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year ended January 31, 2018, the Company acquired the right to act as custodian of a portfolio of HSA Members for $9.3 million, of which $8.0 million cash had been paid as of January 31, 2018. The remaining $1.3 million relates to a contingent payment that may be earned upon the achievement of certain targets. The cost, including transaction costs, was allocated to acquired intangible member assets. The Company has determined the acquired intangible member assets to have a useful life of 15 years. The assets are being amortized using the straight-line amortization method, which has been determined appropriate to reflect the pattern over which the economic benefits of existing member assets are realized.</w:t>
      </w:r>
    </w:p>
    <w:p>
      <w:pPr>
        <w:spacing w:after="0" w:line="10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During the year ended January 31, 2016, the Company acquired the rights to be custodian of the Bancorp and M&amp;T HSA portfolios for $34.2 million and $6.2 million, respectively. The costs, including transaction costs, were allocated to acquired intangible member assets as</w:t>
      </w:r>
    </w:p>
    <w:p>
      <w:pPr>
        <w:spacing w:after="0" w:line="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 January 31, 2016. The Company has determined the acquired intangible member assets to have a useful life of 15 years. The assets are being amortized using the straight-line amortization method, which has been determined appropriate to reflect the pattern over which the economic benefits of existing member assets are realized.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 business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increase its product offering, during the year ended January 31, 2018, the Company acquired the assets of BenefitGuard LLC, pursuant to a definitive asset purchase agreement, for a purchase price of $2.9 million cash. BenefitGuard LLC is a 401(k) provider that offers plan administrator and named fiduciary services for 401(k) employer sponsors. The Company accounted for the acquisition of assets of BenefitGuard LLC as an acquisition of a business under ASC 805. The preliminary purchase price allocation resulted in customer relationships, or other intangible assets, of $2.9 million. The Company has determined the other intangible assets to have a useful life of 10 years. The asset will be amortized using the straight-line amortization method, which has been determined appropriate to reflect the pattern over which the economic benefits will be realized. The financial impact of this acquisition, including pro forma financial results, was immaterial to the Company's consolidated statement of operations for the year ended January 31,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the years ended January 31, 2018, 2017 and 2016, the Company capitalized software development costs of $8.1 million, $7.7 million and $5.6 million, respectively, related to significant enhancements and upgrades to its proprietary system.</w:t>
      </w:r>
    </w:p>
    <w:p>
      <w:pPr>
        <w:sectPr>
          <w:pgSz w:w="11900" w:h="16838" w:orient="portrait"/>
          <w:cols w:equalWidth="0" w:num="1">
            <w:col w:w="11400"/>
          </w:cols>
          <w:pgMar w:left="240" w:top="140"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Intangible assets and goodwill (continued)</w:t>
      </w:r>
    </w:p>
    <w:p>
      <w:pPr>
        <w:spacing w:after="0" w:line="13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gross carrying amount and associated accumulated amortization of intangible assets is as follows as of January 31, 2018 and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January 31, 2018</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January 31, 2017</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intangible assets:</w:t>
            </w:r>
          </w:p>
        </w:tc>
        <w:tc>
          <w:tcPr>
            <w:tcW w:w="4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Capitalized software development costs</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31,993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23,925</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7,041</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44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intangible member assets</w:t>
            </w:r>
          </w:p>
        </w:tc>
        <w:tc>
          <w:tcPr>
            <w:tcW w:w="4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83,915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64,962</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Intangible assets, gross</w:t>
            </w:r>
          </w:p>
        </w:tc>
        <w:tc>
          <w:tcPr>
            <w:tcW w:w="44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127,653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95,928</w:t>
            </w: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4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(30,908)</w:t>
            </w:r>
          </w:p>
        </w:tc>
      </w:tr>
      <w:tr>
        <w:trPr>
          <w:trHeight w:val="264"/>
        </w:trPr>
        <w:tc>
          <w:tcPr>
            <w:tcW w:w="73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Intangible assets, net</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83,635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65,020</w:t>
            </w:r>
          </w:p>
        </w:tc>
      </w:tr>
    </w:tbl>
    <w:p>
      <w:pPr>
        <w:spacing w:after="0" w:line="10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During the years ended January 31, 2018, 2017 and 2016, the Company expensed a total of $12.2 million, $10.0 million and $7.6 million, respectively, in software development costs primarily related to the post-implementation and operation stages of its proprietary software.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January 31, 2018, 2017 and 2016 was $13.2 million, $11.2 million and $7.1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January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13,290</w:t>
            </w:r>
          </w:p>
        </w:tc>
      </w:tr>
      <w:tr>
        <w:trPr>
          <w:trHeight w:val="233"/>
        </w:trPr>
        <w:tc>
          <w:tcPr>
            <w:tcW w:w="10280" w:type="dxa"/>
            <w:vAlign w:val="bottom"/>
          </w:tcPr>
          <w:p>
            <w:pPr>
              <w:ind w:left="4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10,821</w:t>
            </w:r>
          </w:p>
        </w:tc>
      </w:tr>
      <w:tr>
        <w:trPr>
          <w:trHeight w:val="253"/>
        </w:trPr>
        <w:tc>
          <w:tcPr>
            <w:tcW w:w="10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7,705</w:t>
            </w:r>
          </w:p>
        </w:tc>
      </w:tr>
      <w:tr>
        <w:trPr>
          <w:trHeight w:val="233"/>
        </w:trPr>
        <w:tc>
          <w:tcPr>
            <w:tcW w:w="10280" w:type="dxa"/>
            <w:vAlign w:val="bottom"/>
          </w:tcPr>
          <w:p>
            <w:pPr>
              <w:ind w:left="4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6,011</w:t>
            </w:r>
          </w:p>
        </w:tc>
      </w:tr>
      <w:tr>
        <w:trPr>
          <w:trHeight w:val="253"/>
        </w:trPr>
        <w:tc>
          <w:tcPr>
            <w:tcW w:w="10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5,883</w:t>
            </w:r>
          </w:p>
        </w:tc>
      </w:tr>
      <w:tr>
        <w:trPr>
          <w:trHeight w:val="237"/>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39,925</w:t>
            </w:r>
          </w:p>
        </w:tc>
      </w:tr>
      <w:tr>
        <w:trPr>
          <w:trHeight w:val="237"/>
        </w:trPr>
        <w:tc>
          <w:tcPr>
            <w:tcW w:w="10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83,635</w:t>
            </w:r>
          </w:p>
        </w:tc>
      </w:tr>
    </w:tbl>
    <w:p>
      <w:pPr>
        <w:spacing w:after="0" w:line="10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All of the Company’s goodwill was generated from the acquisition of First Horizon MSaver, Inc. on August 11, 2011. There have been no changes to the goodwill carrying value during the years ended January 31, 2018 and 2017.</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u w:val="single" w:color="auto"/>
          <w:color w:val="auto"/>
        </w:rPr>
        <w:t>Property, colocation, equipment, and license agreements</w:t>
      </w:r>
      <w:r>
        <w:rPr>
          <w:rFonts w:ascii="Arial" w:cs="Arial" w:eastAsia="Arial" w:hAnsi="Arial"/>
          <w:sz w:val="18"/>
          <w:szCs w:val="18"/>
          <w:color w:val="auto"/>
        </w:rPr>
        <w:t>—The Company leases office space, data storage facilities, equipment and certain maintenance agreements under long-term, non-cancelable operating leases. Future minimum lease payments required under non-cancelable obligations as of January 31,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Other</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ending January 31, (in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Office lease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agreements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6,216</w:t>
            </w:r>
          </w:p>
        </w:tc>
      </w:tr>
      <w:tr>
        <w:trPr>
          <w:trHeight w:val="233"/>
        </w:trPr>
        <w:tc>
          <w:tcPr>
            <w:tcW w:w="6760" w:type="dxa"/>
            <w:vAlign w:val="bottom"/>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5,917</w:t>
            </w:r>
          </w:p>
        </w:tc>
      </w:tr>
      <w:tr>
        <w:trPr>
          <w:trHeight w:val="253"/>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6,230</w:t>
            </w:r>
          </w:p>
        </w:tc>
      </w:tr>
      <w:tr>
        <w:trPr>
          <w:trHeight w:val="233"/>
        </w:trPr>
        <w:tc>
          <w:tcPr>
            <w:tcW w:w="6760" w:type="dxa"/>
            <w:vAlign w:val="bottom"/>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5,658</w:t>
            </w:r>
          </w:p>
        </w:tc>
      </w:tr>
      <w:tr>
        <w:trPr>
          <w:trHeight w:val="253"/>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4,307</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17,034</w:t>
            </w:r>
          </w:p>
        </w:tc>
      </w:tr>
      <w:tr>
        <w:trPr>
          <w:trHeight w:val="237"/>
        </w:trPr>
        <w:tc>
          <w:tcPr>
            <w:tcW w:w="6760" w:type="dxa"/>
            <w:vAlign w:val="bottom"/>
            <w:tcBorders>
              <w:top w:val="single" w:sz="8" w:color="CCEEFF"/>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37,383</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7,979</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45,362</w:t>
            </w:r>
          </w:p>
        </w:tc>
      </w:tr>
    </w:tbl>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u w:val="single" w:color="auto"/>
          <w:color w:val="auto"/>
        </w:rPr>
        <w:t>Office lease obligations</w:t>
      </w:r>
      <w:r>
        <w:rPr>
          <w:rFonts w:ascii="Arial" w:cs="Arial" w:eastAsia="Arial" w:hAnsi="Arial"/>
          <w:sz w:val="18"/>
          <w:szCs w:val="18"/>
          <w:color w:val="auto"/>
        </w:rPr>
        <w:t>—On May 15, 2015, the Company entered into a lease agreement to expand its headquarters in Draper, Utah. The lease provided for the new landlord to construct a building at their cost. The lease commenced upon the substantial completion and delivery of the building to the Company on July 1, 2016 and has an initial term of 129 months thereafter, with an option for the Company to extend the lease for two additional five-year periods. The Company is responsible for payment of taxes and operating expenses for its portion of the building, in addition to an annual base rent in the initial amount of approximately $1.0 million,</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 (continued)</w:t>
      </w:r>
    </w:p>
    <w:p>
      <w:pPr>
        <w:spacing w:after="0" w:line="373"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with 2.5% annual increases. In conjunction with the aforementioned lease, the Company entered into an amended and restated lease agreement for its existing office space at its headquarters in Draper, Utah. The lease commenced on July 1, 2015 and has an initial term</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 129 months thereafter, with an option for the Company to extend the lease for two additional five-year periods. The Company is responsible for payment of taxes and operating expenses for its portion of the building, in addition to an annual base rent in the initial amount of approximately $1.6 million, with 2.5% annual increases. As a result of the foregoing transaction, the deferred rent balance of approximately $470,000 was reversed during the year ended January 31, 2016.</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16, 2016, the Company entered into an amendment to its lease agreement, dated May 15, 2015, by and between the Company and its landlord to expand its current office space. The term of the lease commenced on July 1, 2016 and will expire on March 31, 2027. The Company is responsible for payment of taxes and operating expenses for its portion of the building, in addition to an annual base rent in the initial amount of approximately $569,000, with 2.5% annual increases.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May 31, 2017, the Company entered into an amendment to its lease agreement, dated May 15, 2015, to expand its current office space. The term of the lease commenced on January 1, 2018 and will expire on March 31, 2027. The Company will be responsible for payment of taxes and operating expenses for its portion of the building, in addition to an annual base rent in the initial amount of approximately $513,000, with annual increases ranging from 2.5% to 3.1%.</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Lease expense for office space for the years ended January 31, 2018, 2017 and 2016 totaled $4.3 million, $3.3 million and $2.1 million, respectively. Expense for other agreements for the years ended January 31, 2018, 2017 and 2016 totaled $460,000, $307,000 and $249,000, respectively.</w:t>
      </w:r>
    </w:p>
    <w:p>
      <w:pPr>
        <w:spacing w:after="0" w:line="9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u w:val="single" w:color="auto"/>
          <w:color w:val="auto"/>
        </w:rPr>
        <w:t>Data storage and equipment lease obligations</w:t>
      </w:r>
      <w:r>
        <w:rPr>
          <w:rFonts w:ascii="Arial" w:cs="Arial" w:eastAsia="Arial" w:hAnsi="Arial"/>
          <w:sz w:val="18"/>
          <w:szCs w:val="18"/>
          <w:color w:val="auto"/>
        </w:rPr>
        <w:t>—The data storage and equipment leases relate to our offsite data storage facility and office equipment leases. All of these leases expire during the year ended January 31, 2020.</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u w:val="single" w:color="auto"/>
          <w:color w:val="auto"/>
        </w:rPr>
        <w:t>Telephony services</w:t>
      </w:r>
      <w:r>
        <w:rPr>
          <w:rFonts w:ascii="Arial" w:cs="Arial" w:eastAsia="Arial" w:hAnsi="Arial"/>
          <w:sz w:val="18"/>
          <w:szCs w:val="18"/>
          <w:color w:val="auto"/>
        </w:rPr>
        <w:t>—The telephony service agreement relates to our 24/7/365 member support center. The agreement expires in September 2019.</w:t>
      </w:r>
    </w:p>
    <w:p>
      <w:pPr>
        <w:spacing w:after="0" w:line="8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—During the year ended January 31, 2016, the Company amended its merchant processing services agreement with a vendor. The agreement expires December 31, 2020 and requires the Company to pay a dollar minimum processing fee based on the processing year of the agreement. The Company may terminate the agreement beginning January 1, 2020 by providing 180 days’ written notice.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the processing agreement is terminated prior to December 31, 2020, the Company is required to pay the vendor a termination fee, equal to 75% of the aggregate value of the minimum processing fees for the remaining years of the agreement, plus a portion of the account on-boarding incentive fee.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2018, 2017 and 2016, the Company exceeded the minimum amounts required under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agreement with an entity for access to its software. The agreement contains minimum required payments.</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also has agreements with several entities for access to technology and software. The agreements are based on usage, and there are no minimum required monthly payments.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at the Company’s request in such capacity. There have been no claims to date and the Company has a director and officer insurance policy that may enable it to recover a portion of any amounts paid for future claims.</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140"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 (continued)</w:t>
      </w:r>
    </w:p>
    <w:p>
      <w:pPr>
        <w:spacing w:after="0" w:line="37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—The Company may from time to time be involved in legal proceedings arising from the normal course of business. There are no material pending or threatened legal proceedings as of January 31, 2018 and 2017.</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Indebtedness</w:t>
      </w:r>
    </w:p>
    <w:p>
      <w:pPr>
        <w:spacing w:after="0" w:line="23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On September 30, 2015, the Company entered into a credit facility (the "Credit Agreement"). The Credit Agreement provides for a secured revolving credit facility in the aggregate principal amount of $ 100.0 million for a term of five years. The proceeds of borrowings under the Credit Agreement may be used for general corporate purposes. No amounts have been drawn under the Credit Agreement as of January 31, 2018.</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Borrowings under the Credit Agreement bear interest equal to, at the Company's option, a) an adjusted LIBOR rate or b) a customary base rate, in each case with an applicable spread to be determined based on the Company's leverage ratio as of the most recent fiscal quarter. The applicable spread for borrowing under the Credit Agreement will range from 1.50% to 2.00% with respect to adjusted LIBOR rate borrowings and 0.50% to 1.00% with respect to customary base rate borrowings. Additionally, the Company pays a commitment fee ranging from 0.20% to 0.30% on the daily amount of the unused commitments under the Credit Agreement payable in arrears at the end of each fiscal quarter. During the years ended January 31, 2018 and 2017, the Company incurred $274,000 and $275,000, respectively, of interest expense associated with the Credit Agreement.</w:t>
      </w:r>
    </w:p>
    <w:p>
      <w:pPr>
        <w:spacing w:after="0" w:line="9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Company's material subsidiaries are required to guarantee the obligations of the Company under the Credit Agreement. The obligations of the Company and the guarantors under the Credit Agreement and the guarantees are secured by substantially all assets of the Company and the guarantors, subject to customary exclusions and exceptions.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Credit Agreement requires the Company to maintain a total leverage ratio of not more than 3.00 to 1.00 as of the end of each fiscal quarter and a minimum interest coverage ratio of at least 3.00 to 1.00 as of the end of each fiscal quarter. In addition, the Credit Agreement includes customary representations and warranties, affirmative and negative covenants, and events of default. The restrictive covenants include customary restrictions on the Company's ability to incur additional indebtedness; make investments, loans or advances; grant or incur liens on assets; engage in mergers, consolidations, liquidations or dissolutions; engage in transactions with affiliates; and make dividend payments. The Company was in compliance with these covenants as of January 31, 2018.</w:t>
      </w:r>
    </w:p>
    <w:p>
      <w:pPr>
        <w:spacing w:after="0" w:line="1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Credit Agreement, the Company incurred $317,000 in financing costs, which are deferred and are being amortized using the straight-line method, which approximates the effective interest method, over the life of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83"/>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60"/>
        </w:trPr>
        <w:tc>
          <w:tcPr>
            <w:tcW w:w="4260" w:type="dxa"/>
            <w:vAlign w:val="bottom"/>
          </w:tcPr>
          <w:p>
            <w:pPr>
              <w:ind w:left="180"/>
              <w:spacing w:after="0"/>
              <w:rPr>
                <w:sz w:val="20"/>
                <w:szCs w:val="20"/>
                <w:color w:val="auto"/>
              </w:rPr>
            </w:pPr>
            <w:r>
              <w:rPr>
                <w:rFonts w:ascii="Arial" w:cs="Arial" w:eastAsia="Arial" w:hAnsi="Arial"/>
                <w:sz w:val="16"/>
                <w:szCs w:val="16"/>
                <w:color w:val="auto"/>
              </w:rPr>
              <w:t>Federal</w:t>
            </w:r>
          </w:p>
        </w:tc>
        <w:tc>
          <w:tcPr>
            <w:tcW w:w="3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14,848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9,876</w:t>
            </w:r>
          </w:p>
        </w:tc>
      </w:tr>
      <w:tr>
        <w:trPr>
          <w:trHeight w:val="280"/>
        </w:trPr>
        <w:tc>
          <w:tcPr>
            <w:tcW w:w="4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5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1,823</w:t>
            </w: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1,226</w:t>
            </w:r>
          </w:p>
        </w:tc>
      </w:tr>
      <w:tr>
        <w:trPr>
          <w:trHeight w:val="254"/>
        </w:trPr>
        <w:tc>
          <w:tcPr>
            <w:tcW w:w="4260" w:type="dxa"/>
            <w:vAlign w:val="bottom"/>
          </w:tcPr>
          <w:p>
            <w:pPr>
              <w:ind w:left="380"/>
              <w:spacing w:after="0"/>
              <w:rPr>
                <w:sz w:val="20"/>
                <w:szCs w:val="20"/>
                <w:color w:val="auto"/>
              </w:rPr>
            </w:pPr>
            <w:r>
              <w:rPr>
                <w:rFonts w:ascii="Arial" w:cs="Arial" w:eastAsia="Arial" w:hAnsi="Arial"/>
                <w:sz w:val="16"/>
                <w:szCs w:val="16"/>
                <w:color w:val="auto"/>
              </w:rPr>
              <w:t>Total current tax provision</w:t>
            </w:r>
          </w:p>
        </w:tc>
        <w:tc>
          <w:tcPr>
            <w:tcW w:w="3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16,671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11,102</w:t>
            </w:r>
          </w:p>
        </w:tc>
      </w:tr>
      <w:tr>
        <w:trPr>
          <w:trHeight w:val="26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60"/>
        </w:trPr>
        <w:tc>
          <w:tcPr>
            <w:tcW w:w="4260" w:type="dxa"/>
            <w:vAlign w:val="bottom"/>
          </w:tcPr>
          <w:p>
            <w:pPr>
              <w:ind w:left="180"/>
              <w:spacing w:after="0"/>
              <w:rPr>
                <w:sz w:val="20"/>
                <w:szCs w:val="20"/>
                <w:color w:val="auto"/>
              </w:rPr>
            </w:pPr>
            <w:r>
              <w:rPr>
                <w:rFonts w:ascii="Arial" w:cs="Arial" w:eastAsia="Arial" w:hAnsi="Arial"/>
                <w:sz w:val="16"/>
                <w:szCs w:val="16"/>
                <w:color w:val="auto"/>
              </w:rPr>
              <w:t>Federal</w:t>
            </w:r>
          </w:p>
        </w:tc>
        <w:tc>
          <w:tcPr>
            <w:tcW w:w="3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(1,772)</w:t>
            </w:r>
          </w:p>
        </w:tc>
      </w:tr>
      <w:tr>
        <w:trPr>
          <w:trHeight w:val="280"/>
        </w:trPr>
        <w:tc>
          <w:tcPr>
            <w:tcW w:w="4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5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57"/>
        </w:trPr>
        <w:tc>
          <w:tcPr>
            <w:tcW w:w="42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deferred tax (benefit) provision</w:t>
            </w:r>
          </w:p>
        </w:tc>
        <w:tc>
          <w:tcPr>
            <w:tcW w:w="35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4,305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r>
      <w:tr>
        <w:trPr>
          <w:trHeight w:val="264"/>
        </w:trPr>
        <w:tc>
          <w:tcPr>
            <w:tcW w:w="42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Total income tax provision</w:t>
            </w:r>
          </w:p>
        </w:tc>
        <w:tc>
          <w:tcPr>
            <w:tcW w:w="390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4,827</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13,744</w:t>
            </w:r>
          </w:p>
        </w:tc>
        <w:tc>
          <w:tcPr>
            <w:tcW w:w="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8,941</w:t>
            </w:r>
          </w:p>
        </w:tc>
      </w:tr>
      <w:tr>
        <w:trPr>
          <w:trHeight w:val="459"/>
        </w:trPr>
        <w:tc>
          <w:tcPr>
            <w:tcW w:w="4260" w:type="dxa"/>
            <w:vAlign w:val="bottom"/>
          </w:tcPr>
          <w:p>
            <w:pPr>
              <w:spacing w:after="0"/>
              <w:rPr>
                <w:sz w:val="24"/>
                <w:szCs w:val="24"/>
                <w:color w:val="auto"/>
              </w:rPr>
            </w:pPr>
          </w:p>
        </w:tc>
        <w:tc>
          <w:tcPr>
            <w:tcW w:w="3520" w:type="dxa"/>
            <w:vAlign w:val="bottom"/>
          </w:tcPr>
          <w:p>
            <w:pPr>
              <w:jc w:val="right"/>
              <w:ind w:right="1817"/>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 (continued)</w:t>
      </w:r>
    </w:p>
    <w:p>
      <w:pPr>
        <w:spacing w:after="0" w:line="37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Total income tax provision differed from the amounts computed by applying the U.S. federal statutory income tax rate of 34% to income before income tax provision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56"/>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income tax provision at the statutory rate</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17,744</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13,641</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8,688</w:t>
            </w:r>
          </w:p>
        </w:tc>
      </w:tr>
      <w:tr>
        <w:trPr>
          <w:trHeight w:val="233"/>
        </w:trPr>
        <w:tc>
          <w:tcPr>
            <w:tcW w:w="7620" w:type="dxa"/>
            <w:vAlign w:val="bottom"/>
          </w:tcPr>
          <w:p>
            <w:pPr>
              <w:ind w:left="40"/>
              <w:spacing w:after="0"/>
              <w:rPr>
                <w:sz w:val="20"/>
                <w:szCs w:val="20"/>
                <w:color w:val="auto"/>
              </w:rPr>
            </w:pPr>
            <w:r>
              <w:rPr>
                <w:rFonts w:ascii="Arial" w:cs="Arial" w:eastAsia="Arial" w:hAnsi="Arial"/>
                <w:sz w:val="16"/>
                <w:szCs w:val="16"/>
                <w:color w:val="auto"/>
              </w:rPr>
              <w:t>State income tax provision, net of federal tax benefit</w:t>
            </w: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1,241</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742</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541</w:t>
            </w:r>
          </w:p>
        </w:tc>
      </w:tr>
      <w:tr>
        <w:trPr>
          <w:trHeight w:val="25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Non-deductible or non-taxable items</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3"/>
        </w:trPr>
        <w:tc>
          <w:tcPr>
            <w:tcW w:w="7620" w:type="dxa"/>
            <w:vAlign w:val="bottom"/>
          </w:tcPr>
          <w:p>
            <w:pPr>
              <w:ind w:left="40"/>
              <w:spacing w:after="0"/>
              <w:rPr>
                <w:sz w:val="20"/>
                <w:szCs w:val="20"/>
                <w:color w:val="auto"/>
              </w:rPr>
            </w:pPr>
            <w:r>
              <w:rPr>
                <w:rFonts w:ascii="Arial" w:cs="Arial" w:eastAsia="Arial" w:hAnsi="Arial"/>
                <w:sz w:val="16"/>
                <w:szCs w:val="16"/>
                <w:color w:val="auto"/>
              </w:rPr>
              <w:t>Excess tax benefits on stock-based compensation expense, net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(14,136)</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research and development credit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33"/>
        </w:trPr>
        <w:tc>
          <w:tcPr>
            <w:tcW w:w="7620" w:type="dxa"/>
            <w:vAlign w:val="bottom"/>
          </w:tcPr>
          <w:p>
            <w:pPr>
              <w:ind w:left="40"/>
              <w:spacing w:after="0"/>
              <w:rPr>
                <w:sz w:val="20"/>
                <w:szCs w:val="20"/>
                <w:color w:val="auto"/>
              </w:rPr>
            </w:pPr>
            <w:r>
              <w:rPr>
                <w:rFonts w:ascii="Arial" w:cs="Arial" w:eastAsia="Arial" w:hAnsi="Arial"/>
                <w:sz w:val="16"/>
                <w:szCs w:val="16"/>
                <w:color w:val="auto"/>
              </w:rPr>
              <w:t>Deferred tax rate adjustment due to tax reform</w:t>
            </w: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458</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statutory rate differential due to tax reform</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620" w:type="dxa"/>
            <w:vAlign w:val="bottom"/>
          </w:tcPr>
          <w:p>
            <w:pPr>
              <w:ind w:left="40"/>
              <w:spacing w:after="0"/>
              <w:rPr>
                <w:sz w:val="20"/>
                <w:szCs w:val="20"/>
                <w:color w:val="auto"/>
              </w:rPr>
            </w:pPr>
            <w:r>
              <w:rPr>
                <w:rFonts w:ascii="Arial" w:cs="Arial" w:eastAsia="Arial" w:hAnsi="Arial"/>
                <w:sz w:val="16"/>
                <w:szCs w:val="16"/>
                <w:color w:val="auto"/>
              </w:rPr>
              <w:t>Change in uncertain tax position reserves, net of indirect benefits</w:t>
            </w: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36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246</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5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items, net</w:t>
            </w: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4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0"/>
        </w:trPr>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income tax provision</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4,827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13,744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8,941</w:t>
            </w:r>
          </w:p>
        </w:tc>
      </w:tr>
    </w:tbl>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effective income tax rate for the years ended January 31, 2018, 2017 and 2016 was 9.2%, 34.3%, and 35.0%,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decrease in the effective tax rate for the year ended January 31, 2018 compared to the year ended January 31, 2017 was primarily the result of excess tax benefits on stock-based compensation expense. The decrease in the effective tax rate for the year ended January 31, 2017 compared to the year ended January 31, 2016 was primarily the result of an increase in research and development credits.</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Tax Cuts and Jobs Act, which was enacted on December 22, 2017, includes a reduction of the statutory corporate income tax rate from a top rate of 35% to 21% effective January 1, 2018. The Company is subject to federal and state income taxes in the United States based on a calendar year which differs from its January fiscal year-end for financial reporting purposes. For purposes of reconciling the total income tax provision for the fiscal year, the Company applied a federal statutory rate of 34% for the entire fiscal year as this is the rate that applies for the tax year ending December 31, 2017 which comprises 11 months of the fiscal year. Because a 21% federal statutory rate applies for the one month ending January 31, 2018, a reconciling item has been included in the tax rate reconciliation table above to adjust for the statutory rate reduction that applies to this one-month period. This resulted in a reduction to the income tax provision of $308,000.</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Given the significance of the Tax Cuts and Jobs Act, the U.S. Securities and Exchange Commission (the "SEC") staff issued Staff Accounting Bulletin ("SAB") No. 118 (“SAB 118”), which allows registrants to record provisional amounts during a one-year “measurement period” from the date of enactment date of the Tax Cuts and Jobs Act.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Tax Cuts and Jobs Act.</w:t>
      </w:r>
    </w:p>
    <w:p>
      <w:pPr>
        <w:spacing w:after="0" w:line="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remeasured certain deferred tax assets and liabilities as of December 31, 2017 based on rates at which they are expected to reverse in the future, which is generally the new corporate income tax rate of 21% as enacted by the Tax Cuts and Jobs Act. However, the Company's analysis is incomplete as we are still analyzing certain aspects of the Act and refining our calculations, including state conformity and the impact of state tax rates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 (continued)</w:t>
      </w:r>
    </w:p>
    <w:p>
      <w:pPr>
        <w:spacing w:after="0" w:line="37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deferred tax balances, which could potentially affect the measurement of these balances or potentially give rise to new deferred tax amounts. Based on the best information available, the provisional amount recorded related to the remeasurement of the Company's deferred tax balance resulted in a decrease in net deferred tax assets of $458,000, with a corresponding increase to the income tax provision during the year ending January 31, 2018. The Company will continue to make and refine its calculations as additional analysis is completed. In addition, the Company's estimates may also be affected as it gains a more thorough understanding of the enacted tax law changes and as additional future guidance on the effects of the Tax Cuts and Jobs Act is made available.</w:t>
      </w:r>
    </w:p>
    <w:p>
      <w:pPr>
        <w:spacing w:after="0" w:line="10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Other significant provisions of the Tax Cuts and Jobs Act are effective as of January 1, 2018, including, but not limited to: the limitation on the current deductibility of net interest expense in excess of 30% of adjusted taxable income, changes in the deductibility of certain meals and entertainment business expenses, and changes in the deductibility of certain excessive employee remuneration. The Company has applied these provisions to its current income tax provision as it relates to its tax return period beginning January 1, 2018 using reasonable interpretations and available guidance. Further guidance or technical corrections may affect the Company's estimates and the application of these provisions on its income tax provision.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b w:val="1"/>
                <w:bCs w:val="1"/>
                <w:color w:val="auto"/>
              </w:rPr>
              <w:t>January 31, 2018</w:t>
            </w:r>
          </w:p>
        </w:tc>
        <w:tc>
          <w:tcPr>
            <w:tcW w:w="3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31, 2017</w:t>
            </w:r>
          </w:p>
        </w:tc>
      </w:tr>
      <w:tr>
        <w:trPr>
          <w:trHeight w:val="243"/>
        </w:trPr>
        <w:tc>
          <w:tcPr>
            <w:tcW w:w="7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r>
      <w:tr>
        <w:trPr>
          <w:trHeight w:val="233"/>
        </w:trPr>
        <w:tc>
          <w:tcPr>
            <w:tcW w:w="7200" w:type="dxa"/>
            <w:vAlign w:val="bottom"/>
          </w:tcPr>
          <w:p>
            <w:pPr>
              <w:ind w:left="180"/>
              <w:spacing w:after="0"/>
              <w:rPr>
                <w:sz w:val="20"/>
                <w:szCs w:val="20"/>
                <w:color w:val="auto"/>
              </w:rPr>
            </w:pPr>
            <w:r>
              <w:rPr>
                <w:rFonts w:ascii="Arial" w:cs="Arial" w:eastAsia="Arial" w:hAnsi="Arial"/>
                <w:sz w:val="16"/>
                <w:szCs w:val="16"/>
                <w:color w:val="auto"/>
              </w:rPr>
              <w:t>Accrued bonuses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25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accrued liabilities</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33"/>
        </w:trPr>
        <w:tc>
          <w:tcPr>
            <w:tcW w:w="7200" w:type="dxa"/>
            <w:vAlign w:val="bottom"/>
          </w:tcPr>
          <w:p>
            <w:pPr>
              <w:ind w:left="180"/>
              <w:spacing w:after="0"/>
              <w:rPr>
                <w:sz w:val="20"/>
                <w:szCs w:val="20"/>
                <w:color w:val="auto"/>
              </w:rPr>
            </w:pPr>
            <w:r>
              <w:rPr>
                <w:rFonts w:ascii="Arial" w:cs="Arial" w:eastAsia="Arial" w:hAnsi="Arial"/>
                <w:sz w:val="16"/>
                <w:szCs w:val="16"/>
                <w:color w:val="auto"/>
              </w:rPr>
              <w:t>Deferred rent</w:t>
            </w: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25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5,061</w:t>
            </w:r>
          </w:p>
        </w:tc>
      </w:tr>
      <w:tr>
        <w:trPr>
          <w:trHeight w:val="233"/>
        </w:trPr>
        <w:tc>
          <w:tcPr>
            <w:tcW w:w="7200" w:type="dxa"/>
            <w:vAlign w:val="bottom"/>
          </w:tcPr>
          <w:p>
            <w:pPr>
              <w:ind w:left="180"/>
              <w:spacing w:after="0"/>
              <w:rPr>
                <w:sz w:val="20"/>
                <w:szCs w:val="20"/>
                <w:color w:val="auto"/>
              </w:rPr>
            </w:pPr>
            <w:r>
              <w:rPr>
                <w:rFonts w:ascii="Arial" w:cs="Arial" w:eastAsia="Arial" w:hAnsi="Arial"/>
                <w:sz w:val="16"/>
                <w:szCs w:val="16"/>
                <w:color w:val="auto"/>
              </w:rPr>
              <w:t>Net operating loss carryforward</w:t>
            </w: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25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credits</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2,225</w:t>
            </w:r>
          </w:p>
        </w:tc>
      </w:tr>
      <w:tr>
        <w:trPr>
          <w:trHeight w:val="233"/>
        </w:trPr>
        <w:tc>
          <w:tcPr>
            <w:tcW w:w="7200" w:type="dxa"/>
            <w:vAlign w:val="bottom"/>
          </w:tcPr>
          <w:p>
            <w:pPr>
              <w:ind w:left="180"/>
              <w:spacing w:after="0"/>
              <w:rPr>
                <w:sz w:val="20"/>
                <w:szCs w:val="20"/>
                <w:color w:val="auto"/>
              </w:rPr>
            </w:pPr>
            <w:r>
              <w:rPr>
                <w:rFonts w:ascii="Arial" w:cs="Arial" w:eastAsia="Arial" w:hAnsi="Arial"/>
                <w:sz w:val="16"/>
                <w:szCs w:val="16"/>
                <w:color w:val="auto"/>
              </w:rPr>
              <w:t>AMT credits</w:t>
            </w: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25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3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gross deferred tax assets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9,789</w:t>
            </w:r>
          </w:p>
        </w:tc>
      </w:tr>
      <w:tr>
        <w:trPr>
          <w:trHeight w:val="22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33"/>
        </w:trPr>
        <w:tc>
          <w:tcPr>
            <w:tcW w:w="7200" w:type="dxa"/>
            <w:vAlign w:val="bottom"/>
          </w:tcPr>
          <w:p>
            <w:pPr>
              <w:ind w:left="180"/>
              <w:spacing w:after="0"/>
              <w:rPr>
                <w:sz w:val="20"/>
                <w:szCs w:val="20"/>
                <w:color w:val="auto"/>
              </w:rPr>
            </w:pPr>
            <w:r>
              <w:rPr>
                <w:rFonts w:ascii="Arial" w:cs="Arial" w:eastAsia="Arial" w:hAnsi="Arial"/>
                <w:sz w:val="16"/>
                <w:szCs w:val="16"/>
                <w:color w:val="auto"/>
              </w:rPr>
              <w:t>Fixed assets: depreciation and gain/loss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5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Intangibles: amortization</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w:t>
            </w:r>
          </w:p>
        </w:tc>
      </w:tr>
      <w:tr>
        <w:trPr>
          <w:trHeight w:val="23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gross deferred tax liability</w:t>
            </w:r>
          </w:p>
        </w:tc>
        <w:tc>
          <w:tcPr>
            <w:tcW w:w="3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w:t>
            </w:r>
          </w:p>
        </w:tc>
      </w:tr>
      <w:tr>
        <w:trPr>
          <w:trHeight w:val="230"/>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deferred tax asset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1,578</w:t>
            </w:r>
          </w:p>
        </w:tc>
      </w:tr>
    </w:tbl>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projected future taxable income and tax planning strategies in making this assessment and determined that based on the weight of all available evidence, it is more likely than not (a likelihood of more than 50%) that the Company will be able to realize its deferred tax assets. Therefore, no valuation allowance was required as of January 31, 2018.</w:t>
      </w:r>
    </w:p>
    <w:p>
      <w:pPr>
        <w:spacing w:after="0" w:line="10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of January 31, 2018, the Company had recorded gross federal and state net operating loss carryforwards of $2.6 million and $2.1 million, respectively, which begin to expire at various intervals between tax years ending December 31, 2025 and December 31, 2036. As of January 31, 2018, the Company also had federal and state research and development carryforwards of $ 2.6 million and $ 1.5 million, respectively, which expire beginning with the tax year ending December 31, 2019 and 2024, respectively, and federal and state alternative minimum tax credit carryforwards of $856,000 and $2,000, respectively. The state AMT credits do not expire. As a result of the Tax Cuts and Jobs Act, the federal alternative minimum tax was repealed. A provision was enacted which allows the Company to utilize or refund 100% of the remaining AMT credits no later than its tax year beginning in 2021. The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 (continued)</w:t>
      </w:r>
    </w:p>
    <w:p>
      <w:pPr>
        <w:spacing w:after="0" w:line="37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Company expects to utilize its AMT credits against income tax in future periods; as a result, the credits have remained classified as deferred tax assets as of January 31, 2018.</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January 31, 2018 and 2017, the gross unrecognized tax benefit was $ 889,000 and $674,000, respectively. If recognized, $811,000 and $572,000 of the total unrecognized tax benefits would affect the Company's effective tax rate as of January 31, 2018 and 2017, respectively. Total gross unrecognized tax benefits increased by $215,000 in the period from January 31, 2017 to January 31, 2018. A tabular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b w:val="1"/>
                <w:bCs w:val="1"/>
                <w:color w:val="auto"/>
              </w:rPr>
              <w:t>January 31, 2018</w:t>
            </w:r>
          </w:p>
        </w:tc>
        <w:tc>
          <w:tcPr>
            <w:tcW w:w="3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31, 2017</w:t>
            </w:r>
          </w:p>
        </w:tc>
      </w:tr>
      <w:tr>
        <w:trPr>
          <w:trHeight w:val="243"/>
        </w:trPr>
        <w:tc>
          <w:tcPr>
            <w:tcW w:w="7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Gross unrecognized tax benefits at beginning of year</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3"/>
        </w:trPr>
        <w:tc>
          <w:tcPr>
            <w:tcW w:w="7200" w:type="dxa"/>
            <w:vAlign w:val="bottom"/>
          </w:tcPr>
          <w:p>
            <w:pPr>
              <w:ind w:left="40"/>
              <w:spacing w:after="0"/>
              <w:rPr>
                <w:sz w:val="20"/>
                <w:szCs w:val="20"/>
                <w:color w:val="auto"/>
              </w:rPr>
            </w:pPr>
            <w:r>
              <w:rPr>
                <w:rFonts w:ascii="Arial" w:cs="Arial" w:eastAsia="Arial" w:hAnsi="Arial"/>
                <w:sz w:val="16"/>
                <w:szCs w:val="16"/>
                <w:color w:val="auto"/>
              </w:rPr>
              <w:t>Gross amounts of increases and decreases:</w:t>
            </w: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3"/>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Increases as a result of tax positions taken during a prior period</w:t>
            </w:r>
          </w:p>
        </w:tc>
        <w:tc>
          <w:tcPr>
            <w:tcW w:w="3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200" w:type="dxa"/>
            <w:vAlign w:val="bottom"/>
          </w:tcPr>
          <w:p>
            <w:pPr>
              <w:ind w:left="280"/>
              <w:spacing w:after="0"/>
              <w:rPr>
                <w:sz w:val="20"/>
                <w:szCs w:val="20"/>
                <w:color w:val="auto"/>
              </w:rPr>
            </w:pPr>
            <w:r>
              <w:rPr>
                <w:rFonts w:ascii="Arial" w:cs="Arial" w:eastAsia="Arial" w:hAnsi="Arial"/>
                <w:sz w:val="16"/>
                <w:szCs w:val="16"/>
                <w:color w:val="auto"/>
              </w:rPr>
              <w:t>Decreases as a result of tax positions taken during a prior period</w:t>
            </w:r>
          </w:p>
        </w:tc>
        <w:tc>
          <w:tcPr>
            <w:tcW w:w="3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Increases as a result of tax positions taken during the current period</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3"/>
        </w:trPr>
        <w:tc>
          <w:tcPr>
            <w:tcW w:w="7200" w:type="dxa"/>
            <w:vAlign w:val="bottom"/>
          </w:tcPr>
          <w:p>
            <w:pPr>
              <w:ind w:left="280"/>
              <w:spacing w:after="0"/>
              <w:rPr>
                <w:sz w:val="20"/>
                <w:szCs w:val="20"/>
                <w:color w:val="auto"/>
              </w:rPr>
            </w:pPr>
            <w:r>
              <w:rPr>
                <w:rFonts w:ascii="Arial" w:cs="Arial" w:eastAsia="Arial" w:hAnsi="Arial"/>
                <w:sz w:val="16"/>
                <w:szCs w:val="16"/>
                <w:color w:val="auto"/>
              </w:rPr>
              <w:t>Decreases as a result of tax positions taken during the current period</w:t>
            </w:r>
          </w:p>
        </w:tc>
        <w:tc>
          <w:tcPr>
            <w:tcW w:w="3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Decreases resulting from the lapse of the applicable statute of limitations</w:t>
            </w:r>
          </w:p>
        </w:tc>
        <w:tc>
          <w:tcPr>
            <w:tcW w:w="3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Gross unrecognized tax benefits at end of year</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674</w:t>
            </w:r>
          </w:p>
        </w:tc>
      </w:tr>
    </w:tbl>
    <w:p>
      <w:pPr>
        <w:spacing w:after="0" w:line="10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 xml:space="preserve">Certain unrecognized tax benefits are required to be netted against their related deferred tax assets as a result of Accounting Standards Update No. 2013-11, </w:t>
      </w:r>
      <w:r>
        <w:rPr>
          <w:rFonts w:ascii="Arial" w:cs="Arial" w:eastAsia="Arial" w:hAnsi="Arial"/>
          <w:sz w:val="18"/>
          <w:szCs w:val="18"/>
          <w:i w:val="1"/>
          <w:iCs w:val="1"/>
          <w:color w:val="auto"/>
        </w:rPr>
        <w:t>Presentation of an Unrecognized Tax Benefit When a Net Operating Loss Carryforward, a Similar Tax Loss, or a Tax</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Carryforward Exists</w:t>
      </w:r>
      <w:r>
        <w:rPr>
          <w:rFonts w:ascii="Arial" w:cs="Arial" w:eastAsia="Arial" w:hAnsi="Arial"/>
          <w:sz w:val="18"/>
          <w:szCs w:val="18"/>
          <w:color w:val="auto"/>
        </w:rPr>
        <w:t>. The resulting unrecognized tax benefit recorded within the Company's consolidated balance sheet excludes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that have been netted against the related deferred tax assets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b w:val="1"/>
                <w:bCs w:val="1"/>
                <w:color w:val="auto"/>
              </w:rPr>
              <w:t>January 31, 2018</w:t>
            </w:r>
          </w:p>
        </w:tc>
        <w:tc>
          <w:tcPr>
            <w:tcW w:w="3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31, 2017</w:t>
            </w:r>
          </w:p>
        </w:tc>
      </w:tr>
      <w:tr>
        <w:trPr>
          <w:trHeight w:val="243"/>
        </w:trPr>
        <w:tc>
          <w:tcPr>
            <w:tcW w:w="7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gross unrecognized tax benefits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r>
      <w:tr>
        <w:trPr>
          <w:trHeight w:val="23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Amounts netted against related deferred tax assets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r>
      <w:tr>
        <w:trPr>
          <w:trHeight w:val="237"/>
        </w:trPr>
        <w:tc>
          <w:tcPr>
            <w:tcW w:w="7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Unrecognized tax benefits recorded on the consolidated balance sheet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policy is to recognize interest and penalties related to unrecognized tax benefits as a component of other expense in the statement of operations. During the years ended January 31, 2018, 2017, and 2016, respectively, the Company recorded a decrease of $0, $0 and $8,000 in interest and penalties related to unrecognized tax benefits. As of January 31, 2018 and 2017, no accrued interest and penalties were recorded.</w:t>
      </w:r>
    </w:p>
    <w:p>
      <w:pPr>
        <w:spacing w:after="0" w:line="96"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Company files income tax returns with U.S. federal and state taxing jurisdictions and is not currently under examination with any jurisdiction. The Company remains subject to examination by federal and various state taxing jurisdictions for tax years after 2003.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Stock-based compensation</w:t>
      </w:r>
    </w:p>
    <w:p>
      <w:pPr>
        <w:spacing w:after="0" w:line="130" w:lineRule="exact"/>
        <w:rPr>
          <w:sz w:val="20"/>
          <w:szCs w:val="20"/>
          <w:color w:val="auto"/>
        </w:rPr>
      </w:pPr>
    </w:p>
    <w:p>
      <w:pPr>
        <w:ind w:right="1160"/>
        <w:spacing w:after="0" w:line="262"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during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83"/>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903</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6,368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2,878</w:t>
            </w:r>
          </w:p>
        </w:tc>
      </w:tr>
      <w:tr>
        <w:trPr>
          <w:trHeight w:val="250"/>
        </w:trPr>
        <w:tc>
          <w:tcPr>
            <w:tcW w:w="6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stock-based compensation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14,310</w:t>
            </w: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8,398</w:t>
            </w: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Company currently grants stock options under the 2014 Equity Incentive Plan (as amended and restated, the "Incentive Plan"), which provided for the issuance of stock options to the directors and team members of the Company to purchase up to an aggregate of 2.6 million shares of common stock.</w:t>
      </w:r>
    </w:p>
    <w:p>
      <w:pPr>
        <w:spacing w:after="0" w:line="9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under the Incentive Plan, the number of shares of common stock reserved for issuance under the Incentive Plan automatically increases on February 1 of each year, beginning as of February 1, 2015 and continuing through and including February 1, 2024, by 3% of the total number of shares of the Company’s capital stock outstanding on January 31 of the preceding fiscal year, or a lesser number of shares determined by the board of directors. As of January 31, 2018, 1.8 million shares were available for grant under the Incentive Plan.</w:t>
      </w:r>
    </w:p>
    <w:p>
      <w:pPr>
        <w:spacing w:after="0" w:line="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team members. Nonqualified stock options may be granted to Company team members,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79"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 xml:space="preserve">Valuation assumptions. </w:t>
      </w:r>
      <w:r>
        <w:rPr>
          <w:rFonts w:ascii="Arial" w:cs="Arial" w:eastAsia="Arial" w:hAnsi="Arial"/>
          <w:sz w:val="18"/>
          <w:szCs w:val="18"/>
          <w:color w:val="auto"/>
        </w:rPr>
        <w:t>The Company has adopted the provisions of Topic 718, which requires the measurement and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all stock-based awards made to team members and directors, based on estimated fair values.</w:t>
      </w: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stock-based awards.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published volatilities of a relative peer group, 3) risk-free interest rate, and 4) expected dividends.</w:t>
      </w:r>
    </w:p>
    <w:p>
      <w:pPr>
        <w:spacing w:after="0" w:line="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key input assumptions that were utilized in the valuation of the stock options granted during the years ended January 31, 2018,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60" w:type="dxa"/>
            <w:vAlign w:val="bottom"/>
          </w:tcPr>
          <w:p>
            <w:pPr>
              <w:jc w:val="right"/>
              <w:ind w:right="99"/>
              <w:spacing w:after="0"/>
              <w:rPr>
                <w:sz w:val="20"/>
                <w:szCs w:val="20"/>
                <w:color w:val="auto"/>
              </w:rPr>
            </w:pPr>
            <w:r>
              <w:rPr>
                <w:rFonts w:ascii="Arial" w:cs="Arial" w:eastAsia="Arial" w:hAnsi="Arial"/>
                <w:sz w:val="16"/>
                <w:szCs w:val="16"/>
                <w:b w:val="1"/>
                <w:bCs w:val="1"/>
                <w:color w:val="auto"/>
              </w:rPr>
              <w:t>Year ended January 31,</w:t>
            </w:r>
          </w:p>
        </w:tc>
      </w:tr>
      <w:tr>
        <w:trPr>
          <w:trHeight w:val="283"/>
        </w:trPr>
        <w:tc>
          <w:tcPr>
            <w:tcW w:w="3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2016</w:t>
            </w:r>
          </w:p>
        </w:tc>
      </w:tr>
      <w:tr>
        <w:trPr>
          <w:trHeight w:val="27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398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580" w:type="dxa"/>
            <w:vAlign w:val="bottom"/>
          </w:tcPr>
          <w:p>
            <w:pPr>
              <w:jc w:val="right"/>
              <w:ind w:right="419"/>
              <w:spacing w:after="0"/>
              <w:rPr>
                <w:sz w:val="20"/>
                <w:szCs w:val="20"/>
                <w:color w:val="auto"/>
              </w:rPr>
            </w:pPr>
            <w:r>
              <w:rPr>
                <w:rFonts w:ascii="Arial" w:cs="Arial" w:eastAsia="Arial" w:hAnsi="Arial"/>
                <w:sz w:val="16"/>
                <w:szCs w:val="16"/>
                <w:color w:val="auto"/>
              </w:rPr>
              <w:t>37.79% - 38.01%</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38.01% - 38.37%</w:t>
            </w:r>
          </w:p>
        </w:tc>
        <w:tc>
          <w:tcPr>
            <w:tcW w:w="2060" w:type="dxa"/>
            <w:vAlign w:val="bottom"/>
          </w:tcPr>
          <w:p>
            <w:pPr>
              <w:jc w:val="right"/>
              <w:ind w:right="99"/>
              <w:spacing w:after="0"/>
              <w:rPr>
                <w:sz w:val="20"/>
                <w:szCs w:val="20"/>
                <w:color w:val="auto"/>
              </w:rPr>
            </w:pPr>
            <w:r>
              <w:rPr>
                <w:rFonts w:ascii="Arial" w:cs="Arial" w:eastAsia="Arial" w:hAnsi="Arial"/>
                <w:sz w:val="16"/>
                <w:szCs w:val="16"/>
                <w:color w:val="auto"/>
              </w:rPr>
              <w:t>38.29% - 40.29%</w:t>
            </w:r>
          </w:p>
        </w:tc>
      </w:tr>
      <w:tr>
        <w:trPr>
          <w:trHeight w:val="28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35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1.18% - 2.07%</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 - 2.18%</w:t>
            </w:r>
          </w:p>
        </w:tc>
        <w:tc>
          <w:tcPr>
            <w:tcW w:w="2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 - 1.80%</w:t>
            </w:r>
          </w:p>
        </w:tc>
      </w:tr>
      <w:tr>
        <w:trPr>
          <w:trHeight w:val="264"/>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Expected life of options</w:t>
            </w:r>
          </w:p>
        </w:tc>
        <w:tc>
          <w:tcPr>
            <w:tcW w:w="3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4.50 - 6.25 years</w:t>
            </w: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4.50 - 6.25 years</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5.43 - 6.25 years</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Stock-based compensation (continued)</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determination of the fair value of stock options on the date of grant using the Black-Scholes option pricing model is affected by the Company's stock price as well as assumptions regarding a number of complex and subjective variables. Expected volatility is determined using weighted average volatility of publicly traded peer companies. The Company expects that it will begin using its own historical volatility in addition to the volatility of publicly traded peer companies, as its share price history grows over time. The risk-free interest rate is determined by using published zero coupon rates on treasury notes for each grant date given the expected term on the options. The dividend yield of zero is based on the fact that the Company expects to invest cash in operations. The Company uses the "simplified" method to estimate expected term as determined under Staff Accounting Bulletin No. 110 due to the lack of option exercise history as a public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Outstanding stock options</w:t>
            </w:r>
          </w:p>
        </w:tc>
      </w:tr>
      <w:tr>
        <w:trPr>
          <w:trHeight w:val="198"/>
        </w:trPr>
        <w:tc>
          <w:tcPr>
            <w:tcW w:w="4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4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Weighted-</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Range of</w:t>
            </w:r>
          </w:p>
        </w:tc>
        <w:tc>
          <w:tcPr>
            <w:tcW w:w="30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average</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for exercise prices and</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exercise</w:t>
            </w:r>
          </w:p>
        </w:tc>
        <w:tc>
          <w:tcPr>
            <w:tcW w:w="30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exercise</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term</w:t>
            </w:r>
          </w:p>
        </w:tc>
        <w:tc>
          <w:tcPr>
            <w:tcW w:w="2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term)</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options</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price</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years)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value</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as of January 31, 2017</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$0.10 - 44.53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18.36</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131,529</w:t>
            </w:r>
          </w:p>
        </w:tc>
      </w:tr>
      <w:tr>
        <w:trPr>
          <w:trHeight w:val="260"/>
        </w:trPr>
        <w:tc>
          <w:tcPr>
            <w:tcW w:w="40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260" w:type="dxa"/>
            <w:vAlign w:val="bottom"/>
          </w:tcPr>
          <w:p>
            <w:pPr>
              <w:jc w:val="right"/>
              <w:spacing w:after="0"/>
              <w:rPr>
                <w:sz w:val="20"/>
                <w:szCs w:val="20"/>
                <w:color w:val="auto"/>
              </w:rPr>
            </w:pPr>
            <w:r>
              <w:rPr>
                <w:rFonts w:ascii="Arial" w:cs="Arial" w:eastAsia="Arial" w:hAnsi="Arial"/>
                <w:sz w:val="16"/>
                <w:szCs w:val="16"/>
                <w:color w:val="auto"/>
              </w:rPr>
              <w:t>$41.28</w:t>
            </w:r>
          </w:p>
        </w:tc>
        <w:tc>
          <w:tcPr>
            <w:tcW w:w="620" w:type="dxa"/>
            <w:vAlign w:val="bottom"/>
          </w:tcPr>
          <w:p>
            <w:pPr>
              <w:jc w:val="right"/>
              <w:spacing w:after="0"/>
              <w:rPr>
                <w:sz w:val="20"/>
                <w:szCs w:val="20"/>
                <w:color w:val="auto"/>
              </w:rPr>
            </w:pPr>
            <w:r>
              <w:rPr>
                <w:rFonts w:ascii="Arial" w:cs="Arial" w:eastAsia="Arial" w:hAnsi="Arial"/>
                <w:sz w:val="16"/>
                <w:szCs w:val="16"/>
                <w:color w:val="auto"/>
              </w:rPr>
              <w:t>- 51.44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42.72</w:t>
            </w: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- 46.40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11.45</w:t>
            </w: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$3.50</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- 46.40</w:t>
            </w:r>
          </w:p>
        </w:tc>
        <w:tc>
          <w:tcPr>
            <w:tcW w:w="3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259"/>
              <w:spacing w:after="0"/>
              <w:rPr>
                <w:sz w:val="20"/>
                <w:szCs w:val="20"/>
                <w:color w:val="auto"/>
              </w:rPr>
            </w:pPr>
            <w:r>
              <w:rPr>
                <w:rFonts w:ascii="Arial" w:cs="Arial" w:eastAsia="Arial" w:hAnsi="Arial"/>
                <w:sz w:val="16"/>
                <w:szCs w:val="16"/>
                <w:color w:val="auto"/>
              </w:rPr>
              <w:t>33.39</w:t>
            </w:r>
          </w:p>
        </w:tc>
        <w:tc>
          <w:tcPr>
            <w:tcW w:w="13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as of January 31, 2018</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3,699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- 51.44</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22.83</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102,796</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Vested and expected to vest as of January 31,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3,699</w:t>
            </w:r>
          </w:p>
        </w:tc>
        <w:tc>
          <w:tcPr>
            <w:tcW w:w="1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22.83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102,796</w:t>
            </w:r>
          </w:p>
        </w:tc>
      </w:tr>
      <w:tr>
        <w:trPr>
          <w:trHeight w:val="273"/>
        </w:trPr>
        <w:tc>
          <w:tcPr>
            <w:tcW w:w="4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Exercisable as of January 31, 2018</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1,125</w:t>
            </w:r>
          </w:p>
        </w:tc>
        <w:tc>
          <w:tcPr>
            <w:tcW w:w="1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16.57</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38,319</w:t>
            </w:r>
          </w:p>
        </w:tc>
      </w:tr>
    </w:tbl>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aggregate intrinsic value in the tables above represents the difference between the estimated fair value of common stock and the exercise price of outstanding, in-the-money stock options.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granted and exercised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7203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Year ended January 31,</w:t>
            </w:r>
          </w:p>
        </w:tc>
      </w:tr>
      <w:tr>
        <w:trPr>
          <w:trHeight w:val="28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weighted-average fair value)</w:t>
            </w:r>
          </w:p>
        </w:tc>
        <w:tc>
          <w:tcPr>
            <w:tcW w:w="1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granted</w:t>
            </w:r>
          </w:p>
        </w:tc>
        <w:tc>
          <w:tcPr>
            <w:tcW w:w="1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8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r>
      <w:tr>
        <w:trPr>
          <w:trHeight w:val="260"/>
        </w:trPr>
        <w:tc>
          <w:tcPr>
            <w:tcW w:w="4820" w:type="dxa"/>
            <w:vAlign w:val="bottom"/>
          </w:tcPr>
          <w:p>
            <w:pPr>
              <w:ind w:left="20"/>
              <w:spacing w:after="0"/>
              <w:rPr>
                <w:sz w:val="20"/>
                <w:szCs w:val="20"/>
                <w:color w:val="auto"/>
              </w:rPr>
            </w:pPr>
            <w:r>
              <w:rPr>
                <w:rFonts w:ascii="Arial" w:cs="Arial" w:eastAsia="Arial" w:hAnsi="Arial"/>
                <w:sz w:val="16"/>
                <w:szCs w:val="16"/>
                <w:color w:val="auto"/>
              </w:rPr>
              <w:t>Weighted-average fair value at date of grant</w:t>
            </w:r>
          </w:p>
        </w:tc>
        <w:tc>
          <w:tcPr>
            <w:tcW w:w="15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42.72</w:t>
            </w:r>
          </w:p>
        </w:tc>
        <w:tc>
          <w:tcPr>
            <w:tcW w:w="7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28.85</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27.34</w:t>
            </w:r>
          </w:p>
        </w:tc>
      </w:tr>
      <w:tr>
        <w:trPr>
          <w:trHeight w:val="273"/>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intrinsic value of stock options exercised</w:t>
            </w:r>
          </w:p>
        </w:tc>
        <w:tc>
          <w:tcPr>
            <w:tcW w:w="15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44,823</w:t>
            </w:r>
          </w:p>
        </w:tc>
        <w:tc>
          <w:tcPr>
            <w:tcW w:w="7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50,094</w:t>
            </w:r>
          </w:p>
        </w:tc>
        <w:tc>
          <w:tcPr>
            <w:tcW w:w="8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51,773</w:t>
            </w:r>
          </w:p>
        </w:tc>
      </w:tr>
    </w:tbl>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January 31, 2018 and 2017, 1.1 million and 1.5 million of all outstanding options were exercisable, respectively. The options are valued at their estimated fair market value as of the date of the grant.</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January 31, 2018, the weighted-average vesting period of non-vested stock-options expected to vest approximates 2.0 years; the amount of compensation expense the Company expects to recognize for stock options vesting in future periods approximates $17.6 million.</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Performance options. </w:t>
      </w:r>
      <w:r>
        <w:rPr>
          <w:rFonts w:ascii="Arial" w:cs="Arial" w:eastAsia="Arial" w:hAnsi="Arial"/>
          <w:sz w:val="18"/>
          <w:szCs w:val="18"/>
          <w:color w:val="auto"/>
        </w:rPr>
        <w:t>During the year ended January 31, 2015, the Company granted 1.5 million performance-based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to certain key team members under the Incentive Plan, which vest upon the achievement of certain performance criteria. The performance-based stock options vest upon the attainment of the following performance criteria: (a) 10% of the stock options vest upon attainment of at least $34.5 million in Adjusted Earnings Before Interest, Taxes, Depreciation and Amortization ("EBITDA") for the year ended January 31, 2016, (b) 20% of the stock options vest upon the attainment of an annual growth rate of Adjusted EBITDA per share of common stock of 30% for the year ended January 31, 2017, (c) 30% of the stock options vest upon the attainment of an annual growth rate of Adjusted EBITDA per share of common stock of 30% for the year ended January 31, 2018, and (d) 40% of the stock options vest upon the attainment of an annual growth rate of Adjusted EBITDA per share of common stock of 25% for the year ended January 31, 2019. During the year ended January 31, 2016,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Stock-based compensation (continued)</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Company achieved the $34.5 million Adjusted EBITDA performance criteria and as such, 10% of the performance-based stock options outstanding as of January 31, 2016 became vested. During the year ended January 31, 2017, the Company achieved the annual growth rate of Adjusted EBITDA per share of common stock of 30% and as such 20% of the performance-based stock options outstanding as January 31, 2017 became vested. Subsequent to the year ended January 31, 2017, the two remaining vesting criteria were amended to vest based upon the attainment of a compound annual growth rate of Adjusted EBITDA per share of common stock of 35% as compared to the year ended January 31, 2016 Adjusted EBTIDA target of $34.5 million, or $0.61 per common share. During the year ended January 31, 2018, the Company achieved the third performance criteria and as such 30% of the performance-based stock options outstanding as of January 31, 2018 became vested.</w:t>
      </w:r>
    </w:p>
    <w:p>
      <w:pPr>
        <w:spacing w:after="0" w:line="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years ended January 31, 2018, 2017 and 2016, the Company recorded compensation expense of $1.4 million, $ 1.7 million and $2.5 million, respectively, related to the performance-based options based on the Company's probability assessment of attaining its Adjusted EBITDA targets, and Adjusted EBITDA per common share growth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grants restricted stock units ("RSUs") to certain team members, officers, and directors under the 2014 Equity Incentive Plan. RSUs vest upon service-based criteria and performance-based criteria. Generally, service-based RSUs vest over a four-year period in equal annual installments commencing upon the first anniversary of the grant date. RSUs are valued based on the current value of the Company's closing stock price on the date of grant less the present value of future expected dividends discounted at the risk-free interest rate. Stock-based compensation expense related to RSUs, excluding PRSUs, for the years ended January 31, 2018 and 2017 was $3.3 million and $233,000, respectively.</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Performance restricted stock units. </w:t>
      </w:r>
      <w:r>
        <w:rPr>
          <w:rFonts w:ascii="Arial" w:cs="Arial" w:eastAsia="Arial" w:hAnsi="Arial"/>
          <w:sz w:val="18"/>
          <w:szCs w:val="18"/>
          <w:color w:val="auto"/>
        </w:rPr>
        <w:t>In March 2017, the Company awarded 146,964 performance-based RSUs ("PRSUs") with an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fair value of $6.1 million. Vesting of the PRSUs is dependent upon the achievement of certain financial criteria and cliff vest on January 31, 2020. The Company records stock-based compensation related to PRSUs when it is considered probable that the performance conditions will be met. The Company believes it is probably that the PRSUs will vest at least in part. The vesting of PRSUs will ultimately range from 0% to 150% of the number of shares underlying the PRSU grant based on the level of achievement of the performance goals. During the year ended January 31, 2018, the Company recorded compensation expense of $1.8 million related to PRSUs.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all restricted stock unit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2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weight-average grant date fair value)</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grant date fair value</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at January 31, 2017</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w:t>
            </w: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3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44.61</w:t>
            </w: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36.74</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Forfeitures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46.41</w:t>
            </w:r>
          </w:p>
        </w:tc>
      </w:tr>
      <w:tr>
        <w:trPr>
          <w:trHeight w:val="250"/>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Unvested at January 31, 2018</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44.10</w:t>
            </w:r>
          </w:p>
        </w:tc>
      </w:tr>
    </w:tbl>
    <w:p>
      <w:pPr>
        <w:spacing w:after="0" w:line="21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Total unrecorded stock-based compensation expense as of January 31, 2018 associated with RSUs, including PRSUs, was $15.1 million, which is expected to be recognized over a weighted-average period of 2.9 years.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Fair value</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 measurements—Fair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Fair value (Continued)</w:t>
      </w:r>
    </w:p>
    <w:p>
      <w:pPr>
        <w:spacing w:after="0" w:line="26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obtained from independent sources, while unobservable inputs reflect the Company’s market assumptions. These two types of inputs have created the following fair value hierarchy:</w:t>
      </w:r>
    </w:p>
    <w:p>
      <w:pPr>
        <w:spacing w:after="0" w:line="8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Level 1 instruments are valued based on publicly available daily net asset values. Level 1 instruments consist primarily of highly liquid mutual funds.</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tables summarizes the assets measured at fair value on a recurring basis and indicates the level within the fair value hierarchy reflecting the valuation techniques utilized to determine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January 31, 2018</w:t>
            </w:r>
          </w:p>
        </w:tc>
        <w:tc>
          <w:tcPr>
            <w:tcW w:w="20" w:type="dxa"/>
            <w:vAlign w:val="bottom"/>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0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Mutual funds</w:t>
            </w:r>
          </w:p>
        </w:tc>
        <w:tc>
          <w:tcPr>
            <w:tcW w:w="3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40,797</w:t>
            </w: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51"/>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January 31, 2017</w:t>
            </w:r>
          </w:p>
        </w:tc>
        <w:tc>
          <w:tcPr>
            <w:tcW w:w="20" w:type="dxa"/>
            <w:vAlign w:val="bottom"/>
          </w:tcPr>
          <w:p>
            <w:pPr>
              <w:spacing w:after="0"/>
              <w:rPr>
                <w:sz w:val="21"/>
                <w:szCs w:val="21"/>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20" w:type="dxa"/>
            <w:vAlign w:val="bottom"/>
            <w:tcBorders>
              <w:bottom w:val="single" w:sz="8" w:color="auto"/>
            </w:tcBorders>
          </w:tcPr>
          <w:p>
            <w:pPr>
              <w:spacing w:after="0"/>
              <w:rPr>
                <w:sz w:val="24"/>
                <w:szCs w:val="24"/>
                <w:color w:val="auto"/>
              </w:rPr>
            </w:pPr>
          </w:p>
        </w:tc>
      </w:tr>
      <w:tr>
        <w:trPr>
          <w:trHeight w:val="270"/>
        </w:trPr>
        <w:tc>
          <w:tcPr>
            <w:tcW w:w="20" w:type="dxa"/>
            <w:vAlign w:val="bottom"/>
            <w:shd w:val="clear" w:color="auto" w:fill="CCEEFF"/>
          </w:tcPr>
          <w:p>
            <w:pPr>
              <w:spacing w:after="0"/>
              <w:rPr>
                <w:sz w:val="23"/>
                <w:szCs w:val="23"/>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0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Mutual funds</w:t>
            </w:r>
          </w:p>
        </w:tc>
        <w:tc>
          <w:tcPr>
            <w:tcW w:w="3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40,405</w:t>
            </w: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2"/>
                <w:szCs w:val="22"/>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carrying value of financial instruments including cash and cash equivalents and certain non-trade receivables approximate fair values as of January 31, 2018 due to the short-term nature of these instruments. The Company has classified cash and cash equivalents as Level 1 and certain non-trade receivables as Level 2 in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Employee benefits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team members over the age of 21 are eligible to participate in the plan. The plan provides for Company matching of employee contributions 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3.5% of eligible earnings. Employer contributions vest 25% each year of employment. 401(k) plan administrative expense was $25,000,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$15,000 and $16,000 for the years ended January 31, 2018, 2017 and 2016, respectively. Employer matching contribution expense was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$916,000 and $626,000 for the years ended January 31, 2018, 2017 and 2016, respectively.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Beginning on January 1, 2017, the Company is self-insured for medical and dental benefits for all qualifying employees. The medical plan carries a stop-loss policy which will protect from individual claims during the plan year exceeding $110,000. The Company records estimates of costs of claims incurred based on an analysis of historical data and independent estimates. The Company's liability for self-insured medical claims is included in accrued compensation in its consolidated balance sheet and was $1.7 million as of January 31, 2018.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Supplementary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034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31, 2018</w:t>
            </w: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October 31, 2017</w:t>
            </w:r>
          </w:p>
        </w:tc>
        <w:tc>
          <w:tcPr>
            <w:tcW w:w="4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2017</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April 30, 2017</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60,436</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56,789</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55,421</w:t>
            </w:r>
          </w:p>
        </w:tc>
      </w:tr>
      <w:tr>
        <w:trPr>
          <w:trHeight w:val="23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28,790</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23,062</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21,077</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21,680</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31,646</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33,727</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35,802</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33,741</w:t>
            </w:r>
          </w:p>
        </w:tc>
      </w:tr>
      <w:tr>
        <w:trPr>
          <w:trHeight w:val="233"/>
        </w:trPr>
        <w:tc>
          <w:tcPr>
            <w:tcW w:w="36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23,212</w:t>
            </w: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20,165</w:t>
            </w:r>
          </w:p>
        </w:tc>
        <w:tc>
          <w:tcPr>
            <w:tcW w:w="4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19,307</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17,814</w:t>
            </w:r>
          </w:p>
        </w:tc>
      </w:tr>
      <w:tr>
        <w:trPr>
          <w:trHeight w:val="25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2,685</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1,808</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10,482</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14,029</w:t>
            </w:r>
          </w:p>
        </w:tc>
      </w:tr>
      <w:tr>
        <w:trPr>
          <w:trHeight w:val="233"/>
        </w:trPr>
        <w:tc>
          <w:tcPr>
            <w:tcW w:w="3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r>
      <w:tr>
        <w:trPr>
          <w:trHeight w:val="243"/>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0.17</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034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31, 2017</w:t>
            </w: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October 31, 2016</w:t>
            </w:r>
          </w:p>
        </w:tc>
        <w:tc>
          <w:tcPr>
            <w:tcW w:w="4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2016</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April 30, 2016</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46,814</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43,358</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44,013</w:t>
            </w:r>
          </w:p>
        </w:tc>
      </w:tr>
      <w:tr>
        <w:trPr>
          <w:trHeight w:val="23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22,585</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17,467</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16,332</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24,229</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25,891</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28,554</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27,681</w:t>
            </w:r>
          </w:p>
        </w:tc>
      </w:tr>
      <w:tr>
        <w:trPr>
          <w:trHeight w:val="233"/>
        </w:trPr>
        <w:tc>
          <w:tcPr>
            <w:tcW w:w="36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18,048</w:t>
            </w: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16,849</w:t>
            </w:r>
          </w:p>
        </w:tc>
        <w:tc>
          <w:tcPr>
            <w:tcW w:w="4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15,815</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14,431</w:t>
            </w:r>
          </w:p>
        </w:tc>
      </w:tr>
      <w:tr>
        <w:trPr>
          <w:trHeight w:val="25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3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2,778</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4,536</w:t>
            </w: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6,008</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8,073</w:t>
            </w:r>
          </w:p>
        </w:tc>
      </w:tr>
      <w:tr>
        <w:trPr>
          <w:trHeight w:val="233"/>
        </w:trPr>
        <w:tc>
          <w:tcPr>
            <w:tcW w:w="3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r>
      <w:tr>
        <w:trPr>
          <w:trHeight w:val="261"/>
        </w:trPr>
        <w:tc>
          <w:tcPr>
            <w:tcW w:w="3620" w:type="dxa"/>
            <w:vAlign w:val="bottom"/>
          </w:tcPr>
          <w:p>
            <w:pPr>
              <w:ind w:left="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0.07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03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Net income per share amounts do not sum to equal full year total due to changes in the number of shares outstanding during the periods and rounding.</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January 31, 2018, the end of the period covered by this Annual Report on Form 10 -K.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40" w:right="299" w:bottom="1440" w:gutter="0" w:footer="0" w:header="0"/>
        </w:sectPr>
      </w:pPr>
    </w:p>
    <w:bookmarkStart w:id="77" w:name="page78"/>
    <w:bookmarkEnd w:id="77"/>
    <w:p>
      <w:pPr>
        <w:ind w:right="100"/>
        <w:spacing w:after="0" w:line="262" w:lineRule="auto"/>
        <w:rPr>
          <w:sz w:val="20"/>
          <w:szCs w:val="20"/>
          <w:color w:val="auto"/>
        </w:rPr>
      </w:pPr>
      <w:r>
        <w:rPr>
          <w:rFonts w:ascii="Arial" w:cs="Arial" w:eastAsia="Arial" w:hAnsi="Arial"/>
          <w:sz w:val="18"/>
          <w:szCs w:val="18"/>
          <w:color w:val="auto"/>
        </w:rPr>
        <w:t>including its principal executive and principal financial officers, or persons performing similar functions, as appropriate to allow timely decisions regarding required disclosure.</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Based on such evaluation, our Chief Executive Officer and Chief Financial Officer have concluded that, as of January 31, 2018, our disclosure controls and procedures were effective at the reasonable assurance level.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Exchange Act. Our internal control over financial reporting was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0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as of January 31, 2018. In making this assessment, we used criteria set forth by the Committee of Sponsoring Organizations of the Treadway Commission (COSO)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(2013).</w:t>
      </w:r>
    </w:p>
    <w:p>
      <w:pPr>
        <w:spacing w:after="0" w:line="76"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color w:val="auto"/>
        </w:rPr>
        <w:t xml:space="preserve">Based on this evaluation 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management concluded the Company’s internal control over financial reporting was effective as of January 31, 2018.</w:t>
      </w:r>
    </w:p>
    <w:p>
      <w:pPr>
        <w:spacing w:after="0" w:line="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independent registered public accounting firm, PricewaterhouseCoopers LLP has also audited the effectiveness of the Company’s internal control over financial reporting as of January 31, 2018. Its report appears in Part II, Item 8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January 31, 2018 that has materially affected, or is reasonably likely to materially affect, our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82"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by this Item 10 of Form 10-K is found in our 2018 Proxy Statement to be filed with the SEC in connection with the solicitation of proxies for the Company's 2018 Annual Meeting of Stockholders is incorporated by reference to our 2018 Proxy Statement will be filed with the SEC within 120 days after the end of the fiscal year to which this report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is incorporated by reference in our 2018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is incorporated by reference in our 2018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is incorporated by reference in our 2018 Proxy Statement.</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is incorporated by reference in our 2018 Proxy Statement.</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40" w:right="259" w:bottom="1440" w:gutter="0" w:footer="0" w:header="0"/>
        </w:sectPr>
      </w:pPr>
    </w:p>
    <w:bookmarkStart w:id="79" w:name="page80"/>
    <w:bookmarkEnd w:id="79"/>
    <w:p>
      <w:pPr>
        <w:spacing w:after="0"/>
        <w:rPr>
          <w:sz w:val="20"/>
          <w:szCs w:val="20"/>
          <w:color w:val="auto"/>
        </w:rPr>
      </w:pPr>
      <w:r>
        <w:rPr>
          <w:rFonts w:ascii="Arial" w:cs="Arial" w:eastAsia="Arial" w:hAnsi="Arial"/>
          <w:sz w:val="25"/>
          <w:szCs w:val="25"/>
          <w:b w:val="1"/>
          <w:bCs w:val="1"/>
          <w:color w:val="auto"/>
        </w:rPr>
        <w:t>Part IV.</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(1) All financial statements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0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Page</w:t>
            </w:r>
          </w:p>
        </w:tc>
      </w:tr>
      <w:tr>
        <w:trPr>
          <w:trHeight w:val="203"/>
        </w:trPr>
        <w:tc>
          <w:tcPr>
            <w:tcW w:w="1028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January 31, 2018 and 2017</w:t>
              </w:r>
            </w:hyperlink>
          </w:p>
        </w:tc>
        <w:tc>
          <w:tcPr>
            <w:tcW w:w="114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280" w:type="dxa"/>
            <w:vAlign w:val="bottom"/>
            <w:gridSpan w:val="8"/>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and Comprehensive Income for the years ended January 31, 2018, 2017 and 2016</w:t>
              </w:r>
            </w:hyperlink>
          </w:p>
        </w:tc>
        <w:tc>
          <w:tcPr>
            <w:tcW w:w="1140" w:type="dxa"/>
            <w:vAlign w:val="bottom"/>
            <w:gridSpan w:val="3"/>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34"/>
        </w:trPr>
        <w:tc>
          <w:tcPr>
            <w:tcW w:w="40" w:type="dxa"/>
            <w:vAlign w:val="bottom"/>
          </w:tcPr>
          <w:p>
            <w:pPr>
              <w:spacing w:after="0"/>
              <w:rPr>
                <w:sz w:val="2"/>
                <w:szCs w:val="2"/>
                <w:color w:val="auto"/>
              </w:rPr>
            </w:pPr>
          </w:p>
        </w:tc>
        <w:tc>
          <w:tcPr>
            <w:tcW w:w="33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8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Stockholders' Equity for the years ended January 31, 2018, 2017 and 2016</w:t>
              </w:r>
            </w:hyperlink>
          </w:p>
        </w:tc>
        <w:tc>
          <w:tcPr>
            <w:tcW w:w="114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250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280" w:type="dxa"/>
            <w:vAlign w:val="bottom"/>
            <w:gridSpan w:val="8"/>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January 31, 2018, 2017 and 2016</w:t>
              </w:r>
            </w:hyperlink>
          </w:p>
        </w:tc>
        <w:tc>
          <w:tcPr>
            <w:tcW w:w="1140" w:type="dxa"/>
            <w:vAlign w:val="bottom"/>
            <w:gridSpan w:val="3"/>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34"/>
        </w:trPr>
        <w:tc>
          <w:tcPr>
            <w:tcW w:w="40" w:type="dxa"/>
            <w:vAlign w:val="bottom"/>
          </w:tcPr>
          <w:p>
            <w:pPr>
              <w:spacing w:after="0"/>
              <w:rPr>
                <w:sz w:val="2"/>
                <w:szCs w:val="2"/>
                <w:color w:val="auto"/>
              </w:rPr>
            </w:pPr>
          </w:p>
        </w:tc>
        <w:tc>
          <w:tcPr>
            <w:tcW w:w="33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8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114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280" w:type="dxa"/>
            <w:vAlign w:val="bottom"/>
            <w:gridSpan w:val="8"/>
          </w:tcPr>
          <w:p>
            <w:pPr>
              <w:ind w:lef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Supplementary quarterly financial data (unaudited)</w:t>
              </w:r>
            </w:hyperlink>
          </w:p>
        </w:tc>
        <w:tc>
          <w:tcPr>
            <w:tcW w:w="1140" w:type="dxa"/>
            <w:vAlign w:val="bottom"/>
            <w:gridSpan w:val="3"/>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34"/>
        </w:trPr>
        <w:tc>
          <w:tcPr>
            <w:tcW w:w="40" w:type="dxa"/>
            <w:vAlign w:val="bottom"/>
            <w:tcBorders>
              <w:bottom w:val="single" w:sz="8" w:color="auto"/>
            </w:tcBorders>
          </w:tcPr>
          <w:p>
            <w:pPr>
              <w:spacing w:after="0"/>
              <w:rPr>
                <w:sz w:val="2"/>
                <w:szCs w:val="2"/>
                <w:color w:val="auto"/>
              </w:rPr>
            </w:pPr>
          </w:p>
        </w:tc>
        <w:tc>
          <w:tcPr>
            <w:tcW w:w="336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52"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6"/>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540" w:type="dxa"/>
            <w:vAlign w:val="bottom"/>
            <w:tcBorders>
              <w:bottom w:val="single" w:sz="8" w:color="auto"/>
            </w:tcBorders>
            <w:gridSpan w:val="27"/>
          </w:tcPr>
          <w:p>
            <w:pPr>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r>
      <w:tr>
        <w:trPr>
          <w:trHeight w:val="203"/>
        </w:trPr>
        <w:tc>
          <w:tcPr>
            <w:tcW w:w="142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5420" w:type="dxa"/>
            <w:vAlign w:val="bottom"/>
            <w:tcBorders>
              <w:bottom w:val="single" w:sz="8" w:color="0000FF"/>
            </w:tcBorders>
            <w:gridSpan w:val="26"/>
          </w:tcPr>
          <w:p>
            <w:pPr>
              <w:spacing w:after="0" w:line="20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Amended and Restated Certificate of Incorporation of the Registrant</w:t>
              </w:r>
            </w:hyperlink>
          </w:p>
        </w:tc>
        <w:tc>
          <w:tcPr>
            <w:tcW w:w="120" w:type="dxa"/>
            <w:vAlign w:val="bottom"/>
          </w:tcPr>
          <w:p>
            <w:pPr>
              <w:spacing w:after="0"/>
              <w:rPr>
                <w:sz w:val="17"/>
                <w:szCs w:val="17"/>
                <w:color w:val="auto"/>
              </w:rPr>
            </w:pPr>
          </w:p>
        </w:tc>
        <w:tc>
          <w:tcPr>
            <w:tcW w:w="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July 16, 2014</w:t>
            </w: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3.2</w:t>
            </w:r>
          </w:p>
        </w:tc>
        <w:tc>
          <w:tcPr>
            <w:tcW w:w="3880" w:type="dxa"/>
            <w:vAlign w:val="bottom"/>
            <w:tcBorders>
              <w:bottom w:val="single" w:sz="8" w:color="0000FF"/>
            </w:tcBorders>
            <w:gridSpan w:val="12"/>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Amended and Restated Bylaws of the Registrant</w:t>
              </w:r>
            </w:hyperlink>
          </w:p>
        </w:tc>
        <w:tc>
          <w:tcPr>
            <w:tcW w:w="1660" w:type="dxa"/>
            <w:vAlign w:val="bottom"/>
            <w:gridSpan w:val="15"/>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64"/>
        </w:trPr>
        <w:tc>
          <w:tcPr>
            <w:tcW w:w="1420" w:type="dxa"/>
            <w:vAlign w:val="bottom"/>
          </w:tcPr>
          <w:p>
            <w:pPr>
              <w:ind w:left="40"/>
              <w:spacing w:after="0"/>
              <w:rPr>
                <w:sz w:val="20"/>
                <w:szCs w:val="20"/>
                <w:color w:val="auto"/>
              </w:rPr>
            </w:pPr>
            <w:r>
              <w:rPr>
                <w:rFonts w:ascii="Arial" w:cs="Arial" w:eastAsia="Arial" w:hAnsi="Arial"/>
                <w:sz w:val="18"/>
                <w:szCs w:val="18"/>
                <w:color w:val="auto"/>
              </w:rPr>
              <w:t>4.1</w:t>
            </w:r>
          </w:p>
        </w:tc>
        <w:tc>
          <w:tcPr>
            <w:tcW w:w="5540" w:type="dxa"/>
            <w:vAlign w:val="bottom"/>
            <w:gridSpan w:val="27"/>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Common Stock Certificate.</w:t>
              </w:r>
            </w:hyperlink>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4.2</w:t>
            </w:r>
          </w:p>
        </w:tc>
        <w:tc>
          <w:tcPr>
            <w:tcW w:w="4940" w:type="dxa"/>
            <w:vAlign w:val="bottom"/>
            <w:tcBorders>
              <w:bottom w:val="single" w:sz="8" w:color="0000FF"/>
            </w:tcBorders>
            <w:gridSpan w:val="17"/>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Amended and Restated Registration Rights Agreement, dated</w:t>
              </w:r>
            </w:hyperlink>
          </w:p>
        </w:tc>
        <w:tc>
          <w:tcPr>
            <w:tcW w:w="600" w:type="dxa"/>
            <w:vAlign w:val="bottom"/>
            <w:gridSpan w:val="10"/>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August 11, 2011, by and among the Registrant and certain of its</w:t>
              </w:r>
            </w:hyperlink>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1420" w:type="dxa"/>
            <w:vAlign w:val="bottom"/>
          </w:tcPr>
          <w:p>
            <w:pPr>
              <w:spacing w:after="0"/>
              <w:rPr>
                <w:sz w:val="15"/>
                <w:szCs w:val="15"/>
                <w:color w:val="auto"/>
              </w:rPr>
            </w:pPr>
          </w:p>
        </w:tc>
        <w:tc>
          <w:tcPr>
            <w:tcW w:w="10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stockholders.</w:t>
              </w:r>
            </w:hyperlink>
          </w:p>
        </w:tc>
        <w:tc>
          <w:tcPr>
            <w:tcW w:w="4020" w:type="dxa"/>
            <w:vAlign w:val="bottom"/>
            <w:tcBorders>
              <w:top w:val="single" w:sz="8" w:color="0000FF"/>
            </w:tcBorders>
            <w:gridSpan w:val="18"/>
          </w:tcPr>
          <w:p>
            <w:pPr>
              <w:spacing w:after="0"/>
              <w:rPr>
                <w:sz w:val="15"/>
                <w:szCs w:val="15"/>
                <w:color w:val="auto"/>
              </w:rPr>
            </w:pPr>
          </w:p>
        </w:tc>
        <w:tc>
          <w:tcPr>
            <w:tcW w:w="460" w:type="dxa"/>
            <w:vAlign w:val="bottom"/>
            <w:gridSpan w:val="7"/>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w:t>
            </w:r>
          </w:p>
        </w:tc>
        <w:tc>
          <w:tcPr>
            <w:tcW w:w="5300" w:type="dxa"/>
            <w:vAlign w:val="bottom"/>
            <w:tcBorders>
              <w:bottom w:val="single" w:sz="8" w:color="0000FF"/>
            </w:tcBorders>
            <w:gridSpan w:val="24"/>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Form of Indemnification Agreement by and between the Registrant</w:t>
              </w:r>
            </w:hyperlink>
          </w:p>
        </w:tc>
        <w:tc>
          <w:tcPr>
            <w:tcW w:w="240" w:type="dxa"/>
            <w:vAlign w:val="bottom"/>
            <w:gridSpan w:val="3"/>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23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and its directors and officers.</w:t>
              </w:r>
            </w:hyperlink>
          </w:p>
        </w:tc>
        <w:tc>
          <w:tcPr>
            <w:tcW w:w="3240" w:type="dxa"/>
            <w:vAlign w:val="bottom"/>
            <w:gridSpan w:val="20"/>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July 16,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10.2†</w:t>
            </w:r>
          </w:p>
        </w:tc>
        <w:tc>
          <w:tcPr>
            <w:tcW w:w="5540" w:type="dxa"/>
            <w:vAlign w:val="bottom"/>
            <w:gridSpan w:val="27"/>
          </w:tcPr>
          <w:p>
            <w:pPr>
              <w:spacing w:after="0"/>
              <w:rPr>
                <w:rFonts w:ascii="Arial" w:cs="Arial" w:eastAsia="Arial" w:hAnsi="Arial"/>
                <w:sz w:val="18"/>
                <w:szCs w:val="18"/>
                <w:color w:val="0000FF"/>
              </w:rPr>
            </w:pPr>
            <w:hyperlink r:id="rId63">
              <w:r>
                <w:rPr>
                  <w:rFonts w:ascii="Arial" w:cs="Arial" w:eastAsia="Arial" w:hAnsi="Arial"/>
                  <w:sz w:val="18"/>
                  <w:szCs w:val="18"/>
                  <w:color w:val="0000FF"/>
                </w:rPr>
                <w:t>HealthEquity, Inc. 2014 Equity Incentive Plan and Form of Award</w:t>
              </w:r>
            </w:hyperlink>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1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Agreement.</w:t>
              </w:r>
            </w:hyperlink>
          </w:p>
        </w:tc>
        <w:tc>
          <w:tcPr>
            <w:tcW w:w="400" w:type="dxa"/>
            <w:vAlign w:val="bottom"/>
            <w:gridSpan w:val="5"/>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10.3†</w:t>
            </w:r>
          </w:p>
        </w:tc>
        <w:tc>
          <w:tcPr>
            <w:tcW w:w="5540" w:type="dxa"/>
            <w:vAlign w:val="bottom"/>
            <w:gridSpan w:val="27"/>
          </w:tcPr>
          <w:p>
            <w:pPr>
              <w:spacing w:after="0"/>
              <w:rPr>
                <w:rFonts w:ascii="Arial" w:cs="Arial" w:eastAsia="Arial" w:hAnsi="Arial"/>
                <w:sz w:val="18"/>
                <w:szCs w:val="18"/>
                <w:color w:val="0000FF"/>
              </w:rPr>
            </w:pPr>
            <w:hyperlink r:id="rId64">
              <w:r>
                <w:rPr>
                  <w:rFonts w:ascii="Arial" w:cs="Arial" w:eastAsia="Arial" w:hAnsi="Arial"/>
                  <w:sz w:val="18"/>
                  <w:szCs w:val="18"/>
                  <w:color w:val="0000FF"/>
                </w:rPr>
                <w:t>HealthEquity, Inc. 2014 Amended and Restated Equity Incentive</w:t>
              </w:r>
            </w:hyperlink>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Plan and Form of Award Agreement.</w:t>
              </w:r>
            </w:hyperlink>
          </w:p>
        </w:tc>
        <w:tc>
          <w:tcPr>
            <w:tcW w:w="2180" w:type="dxa"/>
            <w:vAlign w:val="bottom"/>
            <w:tcBorders>
              <w:top w:val="single" w:sz="8" w:color="0000FF"/>
            </w:tcBorders>
            <w:gridSpan w:val="12"/>
          </w:tcPr>
          <w:p>
            <w:pPr>
              <w:spacing w:after="0"/>
              <w:rPr>
                <w:sz w:val="15"/>
                <w:szCs w:val="15"/>
                <w:color w:val="auto"/>
              </w:rPr>
            </w:pPr>
          </w:p>
        </w:tc>
        <w:tc>
          <w:tcPr>
            <w:tcW w:w="440" w:type="dxa"/>
            <w:vAlign w:val="bottom"/>
            <w:gridSpan w:val="6"/>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July 16,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10.4†</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HealthEquity, Inc. 2009 Stock Plan and Form of Stock Option</w:t>
              </w:r>
            </w:hyperlink>
          </w:p>
        </w:tc>
        <w:tc>
          <w:tcPr>
            <w:tcW w:w="680" w:type="dxa"/>
            <w:vAlign w:val="bottom"/>
            <w:gridSpan w:val="11"/>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Agreement.</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10.5†</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HealthEquity, Inc. 2006 Stock Plan and Form of Stock Option</w:t>
              </w:r>
            </w:hyperlink>
          </w:p>
        </w:tc>
        <w:tc>
          <w:tcPr>
            <w:tcW w:w="680" w:type="dxa"/>
            <w:vAlign w:val="bottom"/>
            <w:gridSpan w:val="11"/>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Agreement.</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10.6†</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HealthEquity, Inc. 2005 Stock Plan and Form of Stock Option</w:t>
              </w:r>
            </w:hyperlink>
          </w:p>
        </w:tc>
        <w:tc>
          <w:tcPr>
            <w:tcW w:w="680" w:type="dxa"/>
            <w:vAlign w:val="bottom"/>
            <w:gridSpan w:val="11"/>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Agreement.</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10.7†</w:t>
            </w:r>
          </w:p>
        </w:tc>
        <w:tc>
          <w:tcPr>
            <w:tcW w:w="4960" w:type="dxa"/>
            <w:vAlign w:val="bottom"/>
            <w:tcBorders>
              <w:bottom w:val="single" w:sz="8" w:color="0000FF"/>
            </w:tcBorders>
            <w:gridSpan w:val="18"/>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HealthEquity, Inc. 2003 Director Stock Plan and Form of Stock</w:t>
              </w:r>
            </w:hyperlink>
          </w:p>
        </w:tc>
        <w:tc>
          <w:tcPr>
            <w:tcW w:w="580" w:type="dxa"/>
            <w:vAlign w:val="bottom"/>
            <w:gridSpan w:val="9"/>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Option Agreement.</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10.8†</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HealthEquity, Inc. 2003 Stock Plan and Form of Stock Option</w:t>
              </w:r>
            </w:hyperlink>
          </w:p>
        </w:tc>
        <w:tc>
          <w:tcPr>
            <w:tcW w:w="680" w:type="dxa"/>
            <w:vAlign w:val="bottom"/>
            <w:gridSpan w:val="11"/>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Agreement.</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10.9†</w:t>
            </w:r>
          </w:p>
        </w:tc>
        <w:tc>
          <w:tcPr>
            <w:tcW w:w="5540" w:type="dxa"/>
            <w:vAlign w:val="bottom"/>
            <w:gridSpan w:val="27"/>
          </w:tcPr>
          <w:p>
            <w:pPr>
              <w:spacing w:after="0"/>
              <w:rPr>
                <w:rFonts w:ascii="Arial" w:cs="Arial" w:eastAsia="Arial" w:hAnsi="Arial"/>
                <w:sz w:val="18"/>
                <w:szCs w:val="18"/>
                <w:color w:val="0000FF"/>
              </w:rPr>
            </w:pPr>
            <w:hyperlink r:id="rId70">
              <w:r>
                <w:rPr>
                  <w:rFonts w:ascii="Arial" w:cs="Arial" w:eastAsia="Arial" w:hAnsi="Arial"/>
                  <w:sz w:val="18"/>
                  <w:szCs w:val="18"/>
                  <w:color w:val="0000FF"/>
                </w:rPr>
                <w:t>HealthEquity, Inc. Executive Bonus Plan for the year ended</w:t>
              </w:r>
            </w:hyperlink>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January 31, 2014.</w:t>
              </w:r>
            </w:hyperlink>
          </w:p>
        </w:tc>
        <w:tc>
          <w:tcPr>
            <w:tcW w:w="3200" w:type="dxa"/>
            <w:vAlign w:val="bottom"/>
            <w:tcBorders>
              <w:top w:val="single" w:sz="8" w:color="0000FF"/>
            </w:tcBorders>
            <w:gridSpan w:val="10"/>
          </w:tcPr>
          <w:p>
            <w:pPr>
              <w:spacing w:after="0"/>
              <w:rPr>
                <w:sz w:val="15"/>
                <w:szCs w:val="15"/>
                <w:color w:val="auto"/>
              </w:rPr>
            </w:pPr>
          </w:p>
        </w:tc>
        <w:tc>
          <w:tcPr>
            <w:tcW w:w="840" w:type="dxa"/>
            <w:vAlign w:val="bottom"/>
            <w:gridSpan w:val="14"/>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10.12</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10.11†</w:t>
            </w:r>
          </w:p>
        </w:tc>
        <w:tc>
          <w:tcPr>
            <w:tcW w:w="5540" w:type="dxa"/>
            <w:vAlign w:val="bottom"/>
            <w:gridSpan w:val="27"/>
          </w:tcPr>
          <w:p>
            <w:pPr>
              <w:spacing w:after="0"/>
              <w:rPr>
                <w:rFonts w:ascii="Arial" w:cs="Arial" w:eastAsia="Arial" w:hAnsi="Arial"/>
                <w:sz w:val="18"/>
                <w:szCs w:val="18"/>
                <w:color w:val="0000FF"/>
              </w:rPr>
            </w:pPr>
            <w:hyperlink r:id="rId71">
              <w:r>
                <w:rPr>
                  <w:rFonts w:ascii="Arial" w:cs="Arial" w:eastAsia="Arial" w:hAnsi="Arial"/>
                  <w:sz w:val="18"/>
                  <w:szCs w:val="18"/>
                  <w:color w:val="0000FF"/>
                </w:rPr>
                <w:t>HealthEquity, Inc. Executive Bonus Plan for the year ended</w:t>
              </w:r>
            </w:hyperlink>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January 31, 2015.</w:t>
              </w:r>
            </w:hyperlink>
          </w:p>
        </w:tc>
        <w:tc>
          <w:tcPr>
            <w:tcW w:w="3200" w:type="dxa"/>
            <w:vAlign w:val="bottom"/>
            <w:tcBorders>
              <w:top w:val="single" w:sz="8" w:color="0000FF"/>
            </w:tcBorders>
            <w:gridSpan w:val="10"/>
          </w:tcPr>
          <w:p>
            <w:pPr>
              <w:spacing w:after="0"/>
              <w:rPr>
                <w:sz w:val="15"/>
                <w:szCs w:val="15"/>
                <w:color w:val="auto"/>
              </w:rPr>
            </w:pPr>
          </w:p>
        </w:tc>
        <w:tc>
          <w:tcPr>
            <w:tcW w:w="840" w:type="dxa"/>
            <w:vAlign w:val="bottom"/>
            <w:gridSpan w:val="14"/>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10.13</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July 16, 2014</w:t>
            </w: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10.12†</w:t>
            </w:r>
          </w:p>
        </w:tc>
        <w:tc>
          <w:tcPr>
            <w:tcW w:w="4720" w:type="dxa"/>
            <w:vAlign w:val="bottom"/>
            <w:tcBorders>
              <w:bottom w:val="single" w:sz="8" w:color="0000FF"/>
            </w:tcBorders>
            <w:gridSpan w:val="14"/>
          </w:tcPr>
          <w:p>
            <w:pP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HealthEquity, Inc. Section 409A Specified Employee Policy.</w:t>
              </w:r>
            </w:hyperlink>
          </w:p>
        </w:tc>
        <w:tc>
          <w:tcPr>
            <w:tcW w:w="820" w:type="dxa"/>
            <w:vAlign w:val="bottom"/>
            <w:gridSpan w:val="13"/>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10.13†</w:t>
            </w:r>
          </w:p>
        </w:tc>
        <w:tc>
          <w:tcPr>
            <w:tcW w:w="5340" w:type="dxa"/>
            <w:vAlign w:val="bottom"/>
            <w:tcBorders>
              <w:bottom w:val="single" w:sz="8" w:color="0000FF"/>
            </w:tcBorders>
            <w:gridSpan w:val="25"/>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Employment Agreement, dated June 10, 2014, by and between the</w:t>
              </w:r>
            </w:hyperlink>
          </w:p>
        </w:tc>
        <w:tc>
          <w:tcPr>
            <w:tcW w:w="20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2200" w:type="dxa"/>
            <w:vAlign w:val="bottom"/>
            <w:tcBorders>
              <w:bottom w:val="single" w:sz="8" w:color="0000FF"/>
            </w:tcBorders>
            <w:gridSpan w:val="6"/>
          </w:tcPr>
          <w:p>
            <w:pPr>
              <w:spacing w:after="0" w:line="182"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Registrant and Jon Kessler.</w:t>
              </w:r>
            </w:hyperlink>
          </w:p>
        </w:tc>
        <w:tc>
          <w:tcPr>
            <w:tcW w:w="3340" w:type="dxa"/>
            <w:vAlign w:val="bottom"/>
            <w:gridSpan w:val="21"/>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10.24</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10.14†</w:t>
            </w:r>
          </w:p>
        </w:tc>
        <w:tc>
          <w:tcPr>
            <w:tcW w:w="5340" w:type="dxa"/>
            <w:vAlign w:val="bottom"/>
            <w:tcBorders>
              <w:bottom w:val="single" w:sz="8" w:color="0000FF"/>
            </w:tcBorders>
            <w:gridSpan w:val="25"/>
          </w:tcPr>
          <w:p>
            <w:pPr>
              <w:spacing w:after="0"/>
              <w:rPr>
                <w:rFonts w:ascii="Arial" w:cs="Arial" w:eastAsia="Arial" w:hAnsi="Arial"/>
                <w:sz w:val="18"/>
                <w:szCs w:val="18"/>
                <w:color w:val="0000FF"/>
                <w:w w:val="99"/>
              </w:rPr>
            </w:pPr>
            <w:hyperlink r:id="rId74">
              <w:r>
                <w:rPr>
                  <w:rFonts w:ascii="Arial" w:cs="Arial" w:eastAsia="Arial" w:hAnsi="Arial"/>
                  <w:sz w:val="18"/>
                  <w:szCs w:val="18"/>
                  <w:color w:val="0000FF"/>
                  <w:w w:val="99"/>
                </w:rPr>
                <w:t>Employment Agreement, dated June 10, 2014, by and between the</w:t>
              </w:r>
            </w:hyperlink>
          </w:p>
        </w:tc>
        <w:tc>
          <w:tcPr>
            <w:tcW w:w="20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Registrant and Stephen D. Neeleman, M.D.</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10.25</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0"/>
        </w:trPr>
        <w:tc>
          <w:tcPr>
            <w:tcW w:w="142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10.15†</w:t>
            </w:r>
          </w:p>
        </w:tc>
        <w:tc>
          <w:tcPr>
            <w:tcW w:w="5340" w:type="dxa"/>
            <w:vAlign w:val="bottom"/>
            <w:tcBorders>
              <w:bottom w:val="single" w:sz="8" w:color="0000FF"/>
            </w:tcBorders>
            <w:gridSpan w:val="25"/>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Employment Agreement, dated June 10, 2014, by and between the</w:t>
              </w:r>
            </w:hyperlink>
          </w:p>
        </w:tc>
        <w:tc>
          <w:tcPr>
            <w:tcW w:w="20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21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Registrant and Darcy Mott.</w:t>
              </w:r>
            </w:hyperlink>
          </w:p>
        </w:tc>
        <w:tc>
          <w:tcPr>
            <w:tcW w:w="3400" w:type="dxa"/>
            <w:vAlign w:val="bottom"/>
            <w:gridSpan w:val="23"/>
          </w:tcPr>
          <w:p>
            <w:pPr>
              <w:spacing w:after="0"/>
              <w:rPr>
                <w:sz w:val="15"/>
                <w:szCs w:val="15"/>
                <w:color w:val="auto"/>
              </w:rPr>
            </w:pPr>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10.26</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10, 2014</w:t>
            </w: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10.16†</w:t>
            </w:r>
          </w:p>
        </w:tc>
        <w:tc>
          <w:tcPr>
            <w:tcW w:w="5540" w:type="dxa"/>
            <w:vAlign w:val="bottom"/>
            <w:gridSpan w:val="27"/>
          </w:tcPr>
          <w:p>
            <w:pPr>
              <w:spacing w:after="0"/>
              <w:rPr>
                <w:rFonts w:ascii="Arial" w:cs="Arial" w:eastAsia="Arial" w:hAnsi="Arial"/>
                <w:sz w:val="18"/>
                <w:szCs w:val="18"/>
                <w:color w:val="0000FF"/>
              </w:rPr>
            </w:pPr>
            <w:hyperlink r:id="rId76">
              <w:r>
                <w:rPr>
                  <w:rFonts w:ascii="Arial" w:cs="Arial" w:eastAsia="Arial" w:hAnsi="Arial"/>
                  <w:sz w:val="18"/>
                  <w:szCs w:val="18"/>
                  <w:color w:val="0000FF"/>
                </w:rPr>
                <w:t>Non-Employee Director Compensation Policy.</w:t>
              </w:r>
            </w:hyperlink>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10.27</w:t>
            </w:r>
          </w:p>
        </w:tc>
        <w:tc>
          <w:tcPr>
            <w:tcW w:w="1600" w:type="dxa"/>
            <w:vAlign w:val="bottom"/>
          </w:tcPr>
          <w:p>
            <w:pPr>
              <w:ind w:left="40"/>
              <w:spacing w:after="0"/>
              <w:rPr>
                <w:sz w:val="20"/>
                <w:szCs w:val="20"/>
                <w:color w:val="auto"/>
              </w:rPr>
            </w:pPr>
            <w:r>
              <w:rPr>
                <w:rFonts w:ascii="Arial" w:cs="Arial" w:eastAsia="Arial" w:hAnsi="Arial"/>
                <w:sz w:val="18"/>
                <w:szCs w:val="18"/>
                <w:color w:val="auto"/>
              </w:rPr>
              <w:t>July 16, 2014</w:t>
            </w:r>
          </w:p>
        </w:tc>
      </w:tr>
      <w:tr>
        <w:trPr>
          <w:trHeight w:val="20"/>
        </w:trPr>
        <w:tc>
          <w:tcPr>
            <w:tcW w:w="14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160" w:type="dxa"/>
            <w:vAlign w:val="bottom"/>
            <w:tcBorders>
              <w:left w:val="single" w:sz="8" w:color="0000FF"/>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10.17</w:t>
            </w:r>
          </w:p>
        </w:tc>
        <w:tc>
          <w:tcPr>
            <w:tcW w:w="4780" w:type="dxa"/>
            <w:vAlign w:val="bottom"/>
            <w:tcBorders>
              <w:bottom w:val="single" w:sz="8" w:color="0000FF"/>
            </w:tcBorders>
            <w:gridSpan w:val="15"/>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Lease Agreement, dated May 15, 2015, by and between the</w:t>
              </w:r>
            </w:hyperlink>
          </w:p>
        </w:tc>
        <w:tc>
          <w:tcPr>
            <w:tcW w:w="760" w:type="dxa"/>
            <w:vAlign w:val="bottom"/>
            <w:gridSpan w:val="12"/>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Registrant and BG Scenic Point Office 2, L.C.</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11, 2015</w:t>
            </w:r>
          </w:p>
        </w:tc>
      </w:tr>
      <w:tr>
        <w:trPr>
          <w:trHeight w:val="20"/>
        </w:trPr>
        <w:tc>
          <w:tcPr>
            <w:tcW w:w="14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10.18</w:t>
            </w:r>
          </w:p>
        </w:tc>
        <w:tc>
          <w:tcPr>
            <w:tcW w:w="5340" w:type="dxa"/>
            <w:vAlign w:val="bottom"/>
            <w:tcBorders>
              <w:bottom w:val="single" w:sz="8" w:color="0000FF"/>
            </w:tcBorders>
            <w:gridSpan w:val="25"/>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Amended and Restated Lease Agreement, dated May 15, 2015, by</w:t>
              </w:r>
            </w:hyperlink>
          </w:p>
        </w:tc>
        <w:tc>
          <w:tcPr>
            <w:tcW w:w="20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7"/>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and between the Registrant and BG Scenic Point Office 1, L.C.</w:t>
              </w:r>
            </w:hyperlink>
          </w:p>
        </w:tc>
        <w:tc>
          <w:tcPr>
            <w:tcW w:w="78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June 11, 2015</w:t>
            </w:r>
          </w:p>
        </w:tc>
      </w:tr>
      <w:tr>
        <w:trPr>
          <w:trHeight w:val="20"/>
        </w:trPr>
        <w:tc>
          <w:tcPr>
            <w:tcW w:w="14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780" w:type="dxa"/>
            <w:vAlign w:val="bottom"/>
            <w:gridSpan w:val="1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10.19†</w:t>
            </w:r>
          </w:p>
        </w:tc>
        <w:tc>
          <w:tcPr>
            <w:tcW w:w="5540" w:type="dxa"/>
            <w:vAlign w:val="bottom"/>
            <w:gridSpan w:val="27"/>
          </w:tcPr>
          <w:p>
            <w:pPr>
              <w:spacing w:after="0"/>
              <w:rPr>
                <w:rFonts w:ascii="Arial" w:cs="Arial" w:eastAsia="Arial" w:hAnsi="Arial"/>
                <w:sz w:val="18"/>
                <w:szCs w:val="18"/>
                <w:color w:val="0000FF"/>
              </w:rPr>
            </w:pPr>
            <w:hyperlink r:id="rId79">
              <w:r>
                <w:rPr>
                  <w:rFonts w:ascii="Arial" w:cs="Arial" w:eastAsia="Arial" w:hAnsi="Arial"/>
                  <w:sz w:val="18"/>
                  <w:szCs w:val="18"/>
                  <w:color w:val="0000FF"/>
                </w:rPr>
                <w:t>Employment Agreement, dated July 1, 2015, by and between the</w:t>
              </w:r>
            </w:hyperlink>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September 10,</w:t>
            </w:r>
          </w:p>
        </w:tc>
      </w:tr>
      <w:tr>
        <w:trPr>
          <w:trHeight w:val="183"/>
        </w:trPr>
        <w:tc>
          <w:tcPr>
            <w:tcW w:w="1420" w:type="dxa"/>
            <w:vAlign w:val="bottom"/>
          </w:tcPr>
          <w:p>
            <w:pPr>
              <w:spacing w:after="0"/>
              <w:rPr>
                <w:sz w:val="15"/>
                <w:szCs w:val="15"/>
                <w:color w:val="auto"/>
              </w:rPr>
            </w:pPr>
          </w:p>
        </w:tc>
        <w:tc>
          <w:tcPr>
            <w:tcW w:w="51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Registrant and Jon Soldan.</w:t>
              </w:r>
            </w:hyperlink>
          </w:p>
        </w:tc>
        <w:tc>
          <w:tcPr>
            <w:tcW w:w="38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ind w:left="40"/>
              <w:spacing w:after="0" w:line="182" w:lineRule="exact"/>
              <w:rPr>
                <w:sz w:val="20"/>
                <w:szCs w:val="20"/>
                <w:color w:val="auto"/>
              </w:rPr>
            </w:pPr>
            <w:r>
              <w:rPr>
                <w:rFonts w:ascii="Arial" w:cs="Arial" w:eastAsia="Arial" w:hAnsi="Arial"/>
                <w:sz w:val="18"/>
                <w:szCs w:val="18"/>
                <w:color w:val="auto"/>
              </w:rPr>
              <w:t>2015</w:t>
            </w:r>
          </w:p>
        </w:tc>
      </w:tr>
      <w:tr>
        <w:trPr>
          <w:trHeight w:val="20"/>
        </w:trPr>
        <w:tc>
          <w:tcPr>
            <w:tcW w:w="14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780" w:type="dxa"/>
            <w:vAlign w:val="bottom"/>
            <w:gridSpan w:val="1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10.20†</w:t>
            </w:r>
          </w:p>
        </w:tc>
        <w:tc>
          <w:tcPr>
            <w:tcW w:w="5540" w:type="dxa"/>
            <w:vAlign w:val="bottom"/>
            <w:gridSpan w:val="27"/>
          </w:tcPr>
          <w:p>
            <w:pPr>
              <w:spacing w:after="0"/>
              <w:rPr>
                <w:rFonts w:ascii="Arial" w:cs="Arial" w:eastAsia="Arial" w:hAnsi="Arial"/>
                <w:sz w:val="18"/>
                <w:szCs w:val="18"/>
                <w:color w:val="0000FF"/>
              </w:rPr>
            </w:pPr>
            <w:hyperlink r:id="rId80">
              <w:r>
                <w:rPr>
                  <w:rFonts w:ascii="Arial" w:cs="Arial" w:eastAsia="Arial" w:hAnsi="Arial"/>
                  <w:sz w:val="18"/>
                  <w:szCs w:val="18"/>
                  <w:color w:val="0000FF"/>
                </w:rPr>
                <w:t>Offer letter to Robert W. Selander, dated September 28, 2015.</w:t>
              </w:r>
            </w:hyperlink>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September 30,</w:t>
            </w:r>
          </w:p>
        </w:tc>
      </w:tr>
      <w:tr>
        <w:trPr>
          <w:trHeight w:val="223"/>
        </w:trPr>
        <w:tc>
          <w:tcPr>
            <w:tcW w:w="1420" w:type="dxa"/>
            <w:vAlign w:val="bottom"/>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473"/>
        </w:trPr>
        <w:tc>
          <w:tcPr>
            <w:tcW w:w="1420" w:type="dxa"/>
            <w:vAlign w:val="bottom"/>
          </w:tcPr>
          <w:p>
            <w:pPr>
              <w:spacing w:after="0"/>
              <w:rPr>
                <w:sz w:val="24"/>
                <w:szCs w:val="24"/>
                <w:color w:val="auto"/>
              </w:rPr>
            </w:pPr>
          </w:p>
        </w:tc>
        <w:tc>
          <w:tcPr>
            <w:tcW w:w="4700" w:type="dxa"/>
            <w:vAlign w:val="bottom"/>
            <w:gridSpan w:val="13"/>
          </w:tcPr>
          <w:p>
            <w:pPr>
              <w:ind w:left="41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540" w:type="dxa"/>
            <w:vAlign w:val="bottom"/>
            <w:tcBorders>
              <w:bottom w:val="single" w:sz="8" w:color="auto"/>
            </w:tcBorders>
            <w:gridSpan w:val="22"/>
          </w:tcPr>
          <w:p>
            <w:pPr>
              <w:spacing w:after="0"/>
              <w:rPr>
                <w:sz w:val="20"/>
                <w:szCs w:val="20"/>
                <w:color w:val="auto"/>
              </w:rPr>
            </w:pPr>
            <w:r>
              <w:rPr>
                <w:rFonts w:ascii="Arial" w:cs="Arial" w:eastAsia="Arial" w:hAnsi="Arial"/>
                <w:sz w:val="18"/>
                <w:szCs w:val="18"/>
                <w:b w:val="1"/>
                <w:bCs w:val="1"/>
                <w:color w:val="auto"/>
              </w:rPr>
              <w:t>Description</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Form</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Exhibit</w:t>
            </w: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sz w:val="20"/>
                <w:szCs w:val="20"/>
                <w:color w:val="auto"/>
              </w:rPr>
            </w:pPr>
            <w:r>
              <w:rPr>
                <w:rFonts w:ascii="Arial" w:cs="Arial" w:eastAsia="Arial" w:hAnsi="Arial"/>
                <w:sz w:val="18"/>
                <w:szCs w:val="18"/>
                <w:color w:val="auto"/>
              </w:rPr>
              <w:t>10.21</w:t>
            </w:r>
          </w:p>
        </w:tc>
        <w:tc>
          <w:tcPr>
            <w:tcW w:w="5540" w:type="dxa"/>
            <w:vAlign w:val="bottom"/>
            <w:gridSpan w:val="22"/>
          </w:tcPr>
          <w:p>
            <w:pPr>
              <w:spacing w:after="0" w:line="202" w:lineRule="exact"/>
              <w:rPr>
                <w:rFonts w:ascii="Arial" w:cs="Arial" w:eastAsia="Arial" w:hAnsi="Arial"/>
                <w:sz w:val="18"/>
                <w:szCs w:val="18"/>
                <w:color w:val="0000FF"/>
              </w:rPr>
            </w:pPr>
            <w:hyperlink r:id="rId83">
              <w:r>
                <w:rPr>
                  <w:rFonts w:ascii="Arial" w:cs="Arial" w:eastAsia="Arial" w:hAnsi="Arial"/>
                  <w:sz w:val="18"/>
                  <w:szCs w:val="18"/>
                  <w:color w:val="0000FF"/>
                </w:rPr>
                <w:t>Credit Agreement, dated as of September 30, 2015, by</w:t>
              </w:r>
            </w:hyperlink>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8-K</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10.1 October 6, 2015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HealthEquity, Inc. and JPMorgan Chase Bank, N.A., as</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83">
              <w:r>
                <w:rPr>
                  <w:rFonts w:ascii="Arial" w:cs="Arial" w:eastAsia="Arial" w:hAnsi="Arial"/>
                  <w:sz w:val="18"/>
                  <w:szCs w:val="18"/>
                  <w:color w:val="0000FF"/>
                  <w:w w:val="98"/>
                </w:rPr>
                <w:t>administrative agent.</w:t>
              </w:r>
            </w:hyperlink>
          </w:p>
        </w:tc>
        <w:tc>
          <w:tcPr>
            <w:tcW w:w="2720" w:type="dxa"/>
            <w:vAlign w:val="bottom"/>
            <w:tcBorders>
              <w:top w:val="single" w:sz="8" w:color="0000FF"/>
            </w:tcBorders>
            <w:gridSpan w:val="5"/>
          </w:tcPr>
          <w:p>
            <w:pPr>
              <w:spacing w:after="0"/>
              <w:rPr>
                <w:sz w:val="15"/>
                <w:szCs w:val="15"/>
                <w:color w:val="auto"/>
              </w:rPr>
            </w:pPr>
          </w:p>
        </w:tc>
        <w:tc>
          <w:tcPr>
            <w:tcW w:w="116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10.22</w:t>
            </w:r>
          </w:p>
        </w:tc>
        <w:tc>
          <w:tcPr>
            <w:tcW w:w="5260" w:type="dxa"/>
            <w:vAlign w:val="bottom"/>
            <w:tcBorders>
              <w:bottom w:val="single" w:sz="8" w:color="0000FF"/>
            </w:tcBorders>
            <w:gridSpan w:val="15"/>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Asset Purchase Agreement, dated as of October 23, 2015, by and</w:t>
              </w:r>
            </w:hyperlink>
          </w:p>
        </w:tc>
        <w:tc>
          <w:tcPr>
            <w:tcW w:w="280" w:type="dxa"/>
            <w:vAlign w:val="bottom"/>
            <w:gridSpan w:val="7"/>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8-K</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10.1 October 26, 2015</w:t>
            </w: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40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between The Bancorp Bank and HealthEquity, Inc.</w:t>
              </w:r>
            </w:hyperlink>
          </w:p>
        </w:tc>
        <w:tc>
          <w:tcPr>
            <w:tcW w:w="15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10.23</w:t>
            </w:r>
          </w:p>
        </w:tc>
        <w:tc>
          <w:tcPr>
            <w:tcW w:w="5080" w:type="dxa"/>
            <w:vAlign w:val="bottom"/>
            <w:tcBorders>
              <w:bottom w:val="single" w:sz="8" w:color="0000FF"/>
            </w:tcBorders>
            <w:gridSpan w:val="14"/>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Second Amendment to Lease Agreement, dated September 16,</w:t>
              </w:r>
            </w:hyperlink>
          </w:p>
        </w:tc>
        <w:tc>
          <w:tcPr>
            <w:tcW w:w="460" w:type="dxa"/>
            <w:vAlign w:val="bottom"/>
            <w:gridSpan w:val="8"/>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ind w:left="400"/>
              <w:spacing w:after="0"/>
              <w:rPr>
                <w:sz w:val="20"/>
                <w:szCs w:val="20"/>
                <w:color w:val="auto"/>
              </w:rPr>
            </w:pPr>
            <w:r>
              <w:rPr>
                <w:rFonts w:ascii="Arial" w:cs="Arial" w:eastAsia="Arial" w:hAnsi="Arial"/>
                <w:sz w:val="18"/>
                <w:szCs w:val="18"/>
                <w:color w:val="auto"/>
              </w:rPr>
              <w:t>10.2</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2016, by and between the Company and the Landlord.</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vMerge w:val="restart"/>
          </w:tcPr>
          <w:p>
            <w:pPr>
              <w:ind w:left="40"/>
              <w:spacing w:after="0"/>
              <w:rPr>
                <w:sz w:val="20"/>
                <w:szCs w:val="20"/>
                <w:color w:val="auto"/>
              </w:rPr>
            </w:pPr>
            <w:r>
              <w:rPr>
                <w:rFonts w:ascii="Arial" w:cs="Arial" w:eastAsia="Arial" w:hAnsi="Arial"/>
                <w:sz w:val="18"/>
                <w:szCs w:val="18"/>
                <w:color w:val="auto"/>
              </w:rPr>
              <w:t>December 8, 2016</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22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8"/>
                <w:szCs w:val="18"/>
                <w:color w:val="auto"/>
              </w:rPr>
              <w:t>10.24</w:t>
            </w:r>
          </w:p>
        </w:tc>
        <w:tc>
          <w:tcPr>
            <w:tcW w:w="5540" w:type="dxa"/>
            <w:vAlign w:val="bottom"/>
            <w:gridSpan w:val="22"/>
          </w:tcPr>
          <w:p>
            <w:pPr>
              <w:spacing w:after="0"/>
              <w:rPr>
                <w:rFonts w:ascii="Arial" w:cs="Arial" w:eastAsia="Arial" w:hAnsi="Arial"/>
                <w:sz w:val="18"/>
                <w:szCs w:val="18"/>
                <w:color w:val="0000FF"/>
              </w:rPr>
            </w:pPr>
            <w:hyperlink r:id="rId86">
              <w:r>
                <w:rPr>
                  <w:rFonts w:ascii="Arial" w:cs="Arial" w:eastAsia="Arial" w:hAnsi="Arial"/>
                  <w:sz w:val="18"/>
                  <w:szCs w:val="18"/>
                  <w:color w:val="0000FF"/>
                </w:rPr>
                <w:t>Second Amendment to Amended and Restated Lease Agreement,</w:t>
              </w:r>
            </w:hyperlink>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10-Q</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ind w:left="400"/>
              <w:spacing w:after="0"/>
              <w:rPr>
                <w:sz w:val="20"/>
                <w:szCs w:val="20"/>
                <w:color w:val="auto"/>
              </w:rPr>
            </w:pPr>
            <w:r>
              <w:rPr>
                <w:rFonts w:ascii="Arial" w:cs="Arial" w:eastAsia="Arial" w:hAnsi="Arial"/>
                <w:sz w:val="18"/>
                <w:szCs w:val="18"/>
                <w:color w:val="auto"/>
              </w:rPr>
              <w:t>10.2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2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dated May 31, 2017, by and between the Company and the</w:t>
              </w:r>
            </w:hyperlink>
          </w:p>
        </w:tc>
        <w:tc>
          <w:tcPr>
            <w:tcW w:w="2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47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Landlord.</w:t>
              </w:r>
            </w:hyperlink>
          </w:p>
        </w:tc>
        <w:tc>
          <w:tcPr>
            <w:tcW w:w="82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vMerge w:val="restart"/>
          </w:tcPr>
          <w:p>
            <w:pPr>
              <w:ind w:left="40"/>
              <w:spacing w:after="0"/>
              <w:rPr>
                <w:sz w:val="20"/>
                <w:szCs w:val="20"/>
                <w:color w:val="auto"/>
              </w:rPr>
            </w:pPr>
            <w:r>
              <w:rPr>
                <w:rFonts w:ascii="Arial" w:cs="Arial" w:eastAsia="Arial" w:hAnsi="Arial"/>
                <w:sz w:val="18"/>
                <w:szCs w:val="18"/>
                <w:color w:val="auto"/>
              </w:rPr>
              <w:t>June 8, 2017</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8"/>
                <w:szCs w:val="18"/>
                <w:color w:val="auto"/>
              </w:rPr>
              <w:t>10.25+</w:t>
            </w:r>
          </w:p>
        </w:tc>
        <w:tc>
          <w:tcPr>
            <w:tcW w:w="50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Amended and Restated Non-Employee Director Compensation</w:t>
              </w:r>
            </w:hyperlink>
          </w:p>
        </w:tc>
        <w:tc>
          <w:tcPr>
            <w:tcW w:w="52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w:anchor="page85">
              <w:r>
                <w:rPr>
                  <w:rFonts w:ascii="Arial" w:cs="Arial" w:eastAsia="Arial" w:hAnsi="Arial"/>
                  <w:sz w:val="18"/>
                  <w:szCs w:val="18"/>
                  <w:color w:val="0000FF"/>
                </w:rPr>
                <w:t>Policy.</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color w:val="auto"/>
              </w:rPr>
              <w:t>10-Q</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vMerge w:val="continue"/>
          </w:tcPr>
          <w:p>
            <w:pPr>
              <w:spacing w:after="0"/>
              <w:rPr>
                <w:sz w:val="21"/>
                <w:szCs w:val="21"/>
                <w:color w:val="auto"/>
              </w:rPr>
            </w:pPr>
          </w:p>
        </w:tc>
        <w:tc>
          <w:tcPr>
            <w:tcW w:w="1560" w:type="dxa"/>
            <w:vAlign w:val="bottom"/>
            <w:tcBorders>
              <w:bottom w:val="single" w:sz="8" w:color="0000FF"/>
            </w:tcBorders>
            <w:gridSpan w:val="5"/>
          </w:tcPr>
          <w:p>
            <w:pPr>
              <w:spacing w:after="0"/>
              <w:rPr>
                <w:rFonts w:ascii="Arial" w:cs="Arial" w:eastAsia="Arial" w:hAnsi="Arial"/>
                <w:sz w:val="18"/>
                <w:szCs w:val="18"/>
                <w:color w:val="0000FF"/>
                <w:w w:val="98"/>
              </w:rPr>
            </w:pPr>
            <w:hyperlink r:id="rId87">
              <w:r>
                <w:rPr>
                  <w:rFonts w:ascii="Arial" w:cs="Arial" w:eastAsia="Arial" w:hAnsi="Arial"/>
                  <w:sz w:val="18"/>
                  <w:szCs w:val="18"/>
                  <w:color w:val="0000FF"/>
                  <w:w w:val="98"/>
                </w:rPr>
                <w:t>List of Subsidiaries.</w:t>
              </w:r>
            </w:hyperlink>
          </w:p>
        </w:tc>
        <w:tc>
          <w:tcPr>
            <w:tcW w:w="3980" w:type="dxa"/>
            <w:vAlign w:val="bottom"/>
            <w:gridSpan w:val="17"/>
          </w:tcPr>
          <w:p>
            <w:pPr>
              <w:spacing w:after="0"/>
              <w:rPr>
                <w:sz w:val="21"/>
                <w:szCs w:val="21"/>
                <w:color w:val="auto"/>
              </w:rPr>
            </w:pPr>
          </w:p>
        </w:tc>
        <w:tc>
          <w:tcPr>
            <w:tcW w:w="8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21.1 June 8, 2017</w:t>
            </w: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23.1+</w:t>
            </w:r>
          </w:p>
        </w:tc>
        <w:tc>
          <w:tcPr>
            <w:tcW w:w="5540" w:type="dxa"/>
            <w:vAlign w:val="bottom"/>
            <w:gridSpan w:val="2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Consent of PricewaterhouseCoopers LLP, Independent Registered</w:t>
              </w:r>
            </w:hyperlink>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3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Public Accounting Firm.</w:t>
              </w:r>
            </w:hyperlink>
          </w:p>
        </w:tc>
        <w:tc>
          <w:tcPr>
            <w:tcW w:w="24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24.1+</w:t>
            </w:r>
          </w:p>
        </w:tc>
        <w:tc>
          <w:tcPr>
            <w:tcW w:w="50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Power of Attorney (included in the signature page to this Annual</w:t>
              </w:r>
            </w:hyperlink>
          </w:p>
        </w:tc>
        <w:tc>
          <w:tcPr>
            <w:tcW w:w="460" w:type="dxa"/>
            <w:vAlign w:val="bottom"/>
            <w:gridSpan w:val="8"/>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Report).</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31.1+</w:t>
            </w:r>
          </w:p>
        </w:tc>
        <w:tc>
          <w:tcPr>
            <w:tcW w:w="542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Certification of the Principal Executive Officer Pursuant to Exchange</w:t>
              </w:r>
            </w:hyperlink>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Act Rules 13a-14(a) and 15d-14(a), as adopted pursuant to Section</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w:anchor="page91">
              <w:r>
                <w:rPr>
                  <w:rFonts w:ascii="Arial" w:cs="Arial" w:eastAsia="Arial" w:hAnsi="Arial"/>
                  <w:sz w:val="18"/>
                  <w:szCs w:val="18"/>
                  <w:color w:val="0000FF"/>
                  <w:w w:val="99"/>
                </w:rPr>
                <w:t>302 of the Sarbanes-Oxley Act of 2002</w:t>
              </w:r>
            </w:hyperlink>
          </w:p>
        </w:tc>
        <w:tc>
          <w:tcPr>
            <w:tcW w:w="2260" w:type="dxa"/>
            <w:vAlign w:val="bottom"/>
            <w:tcBorders>
              <w:top w:val="single" w:sz="8" w:color="0000FF"/>
            </w:tcBorders>
            <w:gridSpan w:val="11"/>
          </w:tcPr>
          <w:p>
            <w:pPr>
              <w:spacing w:after="0"/>
              <w:rPr>
                <w:sz w:val="15"/>
                <w:szCs w:val="15"/>
                <w:color w:val="auto"/>
              </w:rPr>
            </w:pPr>
          </w:p>
        </w:tc>
        <w:tc>
          <w:tcPr>
            <w:tcW w:w="18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31.2+</w:t>
            </w:r>
          </w:p>
        </w:tc>
        <w:tc>
          <w:tcPr>
            <w:tcW w:w="536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Certification of the Principal Financial Officer Pursuant to Exchange</w:t>
              </w:r>
            </w:hyperlink>
          </w:p>
        </w:tc>
        <w:tc>
          <w:tcPr>
            <w:tcW w:w="1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w:anchor="page92">
              <w:r>
                <w:rPr>
                  <w:rFonts w:ascii="Arial" w:cs="Arial" w:eastAsia="Arial" w:hAnsi="Arial"/>
                  <w:sz w:val="18"/>
                  <w:szCs w:val="18"/>
                  <w:color w:val="0000FF"/>
                </w:rPr>
                <w:t>Act Rules 13a-14(a) and 15d-14(a), as adopted pursuant to Section</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w:anchor="page92">
              <w:r>
                <w:rPr>
                  <w:rFonts w:ascii="Arial" w:cs="Arial" w:eastAsia="Arial" w:hAnsi="Arial"/>
                  <w:sz w:val="18"/>
                  <w:szCs w:val="18"/>
                  <w:color w:val="0000FF"/>
                  <w:w w:val="99"/>
                </w:rPr>
                <w:t>302 of the Sarbanes-Oxley Act of 2002</w:t>
              </w:r>
            </w:hyperlink>
          </w:p>
        </w:tc>
        <w:tc>
          <w:tcPr>
            <w:tcW w:w="2260" w:type="dxa"/>
            <w:vAlign w:val="bottom"/>
            <w:tcBorders>
              <w:top w:val="single" w:sz="8" w:color="0000FF"/>
            </w:tcBorders>
            <w:gridSpan w:val="11"/>
          </w:tcPr>
          <w:p>
            <w:pPr>
              <w:spacing w:after="0"/>
              <w:rPr>
                <w:sz w:val="15"/>
                <w:szCs w:val="15"/>
                <w:color w:val="auto"/>
              </w:rPr>
            </w:pPr>
          </w:p>
        </w:tc>
        <w:tc>
          <w:tcPr>
            <w:tcW w:w="18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32.1*#</w:t>
            </w:r>
          </w:p>
        </w:tc>
        <w:tc>
          <w:tcPr>
            <w:tcW w:w="540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93">
              <w:r>
                <w:rPr>
                  <w:rFonts w:ascii="Arial" w:cs="Arial" w:eastAsia="Arial" w:hAnsi="Arial"/>
                  <w:sz w:val="18"/>
                  <w:szCs w:val="18"/>
                  <w:color w:val="0000FF"/>
                  <w:w w:val="99"/>
                </w:rPr>
                <w:t>Certification of the Principal Executive Officer Pursuant to 18 U.S.C.</w:t>
              </w:r>
            </w:hyperlink>
          </w:p>
        </w:tc>
        <w:tc>
          <w:tcPr>
            <w:tcW w:w="1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w:anchor="page93">
              <w:r>
                <w:rPr>
                  <w:rFonts w:ascii="Arial" w:cs="Arial" w:eastAsia="Arial" w:hAnsi="Arial"/>
                  <w:sz w:val="18"/>
                  <w:szCs w:val="18"/>
                  <w:color w:val="0000FF"/>
                </w:rPr>
                <w:t>Section 1350, as adopted pursuant to Section 906 of the Sarbanes-</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w:anchor="page93">
              <w:r>
                <w:rPr>
                  <w:rFonts w:ascii="Arial" w:cs="Arial" w:eastAsia="Arial" w:hAnsi="Arial"/>
                  <w:sz w:val="18"/>
                  <w:szCs w:val="18"/>
                  <w:color w:val="0000FF"/>
                  <w:w w:val="98"/>
                </w:rPr>
                <w:t>Oxley Act of 2002</w:t>
              </w:r>
            </w:hyperlink>
          </w:p>
        </w:tc>
        <w:tc>
          <w:tcPr>
            <w:tcW w:w="3940" w:type="dxa"/>
            <w:vAlign w:val="bottom"/>
            <w:tcBorders>
              <w:top w:val="single" w:sz="8" w:color="0000FF"/>
            </w:tcBorders>
            <w:gridSpan w:val="15"/>
          </w:tcPr>
          <w:p>
            <w:pPr>
              <w:spacing w:after="0"/>
              <w:rPr>
                <w:sz w:val="15"/>
                <w:szCs w:val="15"/>
                <w:color w:val="auto"/>
              </w:rPr>
            </w:pPr>
          </w:p>
        </w:tc>
        <w:tc>
          <w:tcPr>
            <w:tcW w:w="18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8"/>
                <w:szCs w:val="18"/>
                <w:color w:val="auto"/>
              </w:rPr>
              <w:t>32.2*#</w:t>
            </w:r>
          </w:p>
        </w:tc>
        <w:tc>
          <w:tcPr>
            <w:tcW w:w="534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Certification of the Principal Financial Officer Pursuant to 18 U.S.C.</w:t>
              </w:r>
            </w:hyperlink>
          </w:p>
        </w:tc>
        <w:tc>
          <w:tcPr>
            <w:tcW w:w="200" w:type="dxa"/>
            <w:vAlign w:val="bottom"/>
            <w:gridSpan w:val="4"/>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5540" w:type="dxa"/>
            <w:vAlign w:val="bottom"/>
            <w:gridSpan w:val="22"/>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Section 1350, as adopted pursuant to Section 906 of the Sarbanes-</w:t>
              </w:r>
            </w:hyperlink>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w:anchor="page94">
              <w:r>
                <w:rPr>
                  <w:rFonts w:ascii="Arial" w:cs="Arial" w:eastAsia="Arial" w:hAnsi="Arial"/>
                  <w:sz w:val="18"/>
                  <w:szCs w:val="18"/>
                  <w:color w:val="0000FF"/>
                  <w:w w:val="98"/>
                </w:rPr>
                <w:t>Oxley Act of 2002</w:t>
              </w:r>
            </w:hyperlink>
          </w:p>
        </w:tc>
        <w:tc>
          <w:tcPr>
            <w:tcW w:w="3940" w:type="dxa"/>
            <w:vAlign w:val="bottom"/>
            <w:tcBorders>
              <w:top w:val="single" w:sz="8" w:color="0000FF"/>
            </w:tcBorders>
            <w:gridSpan w:val="15"/>
          </w:tcPr>
          <w:p>
            <w:pPr>
              <w:spacing w:after="0"/>
              <w:rPr>
                <w:sz w:val="15"/>
                <w:szCs w:val="15"/>
                <w:color w:val="auto"/>
              </w:rPr>
            </w:pPr>
          </w:p>
        </w:tc>
        <w:tc>
          <w:tcPr>
            <w:tcW w:w="18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20" w:type="dxa"/>
            <w:vAlign w:val="bottom"/>
          </w:tcPr>
          <w:p>
            <w:pPr>
              <w:ind w:left="40"/>
              <w:spacing w:after="0"/>
              <w:rPr>
                <w:sz w:val="20"/>
                <w:szCs w:val="20"/>
                <w:color w:val="auto"/>
              </w:rPr>
            </w:pPr>
            <w:r>
              <w:rPr>
                <w:rFonts w:ascii="Arial" w:cs="Arial" w:eastAsia="Arial" w:hAnsi="Arial"/>
                <w:sz w:val="18"/>
                <w:szCs w:val="18"/>
                <w:color w:val="auto"/>
              </w:rPr>
              <w:t>101.INS††</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8"/>
                <w:szCs w:val="18"/>
                <w:color w:val="auto"/>
              </w:rPr>
              <w:t>101.SCH††</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Taxonomy schema linkbase document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8"/>
                <w:szCs w:val="18"/>
                <w:color w:val="auto"/>
              </w:rPr>
              <w:t>101.CAL††</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Taxonomy calculation linkbase document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8"/>
                <w:szCs w:val="18"/>
                <w:color w:val="auto"/>
              </w:rPr>
              <w:t>101.DEF††</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Taxonomy definition linkbase document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8"/>
                <w:szCs w:val="18"/>
                <w:color w:val="auto"/>
              </w:rPr>
              <w:t>101.LAB††</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Taxonomy labels linkbase document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8"/>
                <w:szCs w:val="18"/>
                <w:color w:val="auto"/>
              </w:rPr>
              <w:t>101.PRE††</w:t>
            </w:r>
          </w:p>
        </w:tc>
        <w:tc>
          <w:tcPr>
            <w:tcW w:w="5540" w:type="dxa"/>
            <w:vAlign w:val="bottom"/>
            <w:gridSpan w:val="22"/>
          </w:tcPr>
          <w:p>
            <w:pPr>
              <w:spacing w:after="0"/>
              <w:rPr>
                <w:sz w:val="20"/>
                <w:szCs w:val="20"/>
                <w:color w:val="auto"/>
              </w:rPr>
            </w:pPr>
            <w:r>
              <w:rPr>
                <w:rFonts w:ascii="Arial" w:cs="Arial" w:eastAsia="Arial" w:hAnsi="Arial"/>
                <w:sz w:val="18"/>
                <w:szCs w:val="18"/>
                <w:color w:val="auto"/>
              </w:rPr>
              <w:t>XBRL Taxonomy presentation linkbase document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25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sz w:val="20"/>
          <w:szCs w:val="20"/>
          <w:color w:val="auto"/>
        </w:rPr>
      </w:pPr>
    </w:p>
    <w:p>
      <w:pPr>
        <w:ind w:left="500" w:hanging="224"/>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09" w:lineRule="exact"/>
        <w:rPr>
          <w:sz w:val="20"/>
          <w:szCs w:val="20"/>
          <w:color w:val="auto"/>
        </w:rPr>
      </w:pPr>
    </w:p>
    <w:p>
      <w:pPr>
        <w:ind w:left="500" w:right="420" w:hanging="248"/>
        <w:spacing w:after="0" w:line="258"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32" w:lineRule="exact"/>
        <w:rPr>
          <w:sz w:val="20"/>
          <w:szCs w:val="20"/>
          <w:color w:val="auto"/>
        </w:rPr>
      </w:pPr>
    </w:p>
    <w:p>
      <w:pPr>
        <w:ind w:left="500" w:hanging="248"/>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09" w:lineRule="exact"/>
        <w:rPr>
          <w:sz w:val="20"/>
          <w:szCs w:val="20"/>
          <w:color w:val="auto"/>
        </w:rPr>
      </w:pPr>
    </w:p>
    <w:p>
      <w:pPr>
        <w:jc w:val="both"/>
        <w:ind w:left="500" w:right="320" w:hanging="328"/>
        <w:spacing w:after="0" w:line="250"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28th day of March, 2018.</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7760" w:type="dxa"/>
            <w:vAlign w:val="bottom"/>
            <w:gridSpan w:val="2"/>
          </w:tcPr>
          <w:p>
            <w:pPr>
              <w:ind w:left="2200"/>
              <w:spacing w:after="0"/>
              <w:rPr>
                <w:sz w:val="20"/>
                <w:szCs w:val="20"/>
                <w:color w:val="auto"/>
              </w:rPr>
            </w:pPr>
            <w:r>
              <w:rPr>
                <w:rFonts w:ascii="Arial" w:cs="Arial" w:eastAsia="Arial" w:hAnsi="Arial"/>
                <w:sz w:val="18"/>
                <w:szCs w:val="18"/>
                <w:b w:val="1"/>
                <w:bCs w:val="1"/>
                <w:color w:val="auto"/>
              </w:rPr>
              <w:t>HEALTHEQUITY, INC.</w:t>
            </w: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Date: March 28, 2018</w:t>
            </w:r>
          </w:p>
        </w:tc>
        <w:tc>
          <w:tcPr>
            <w:tcW w:w="332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Jon Kessler</w:t>
            </w:r>
          </w:p>
        </w:tc>
      </w:tr>
      <w:tr>
        <w:trPr>
          <w:trHeight w:val="27"/>
        </w:trPr>
        <w:tc>
          <w:tcPr>
            <w:tcW w:w="36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3320" w:type="dxa"/>
            <w:vAlign w:val="bottom"/>
          </w:tcPr>
          <w:p>
            <w:pPr>
              <w:ind w:left="2200"/>
              <w:spacing w:after="0"/>
              <w:rPr>
                <w:sz w:val="20"/>
                <w:szCs w:val="20"/>
                <w:color w:val="auto"/>
              </w:rPr>
            </w:pPr>
            <w:r>
              <w:rPr>
                <w:rFonts w:ascii="Arial" w:cs="Arial" w:eastAsia="Arial" w:hAnsi="Arial"/>
                <w:sz w:val="18"/>
                <w:szCs w:val="18"/>
                <w:color w:val="auto"/>
              </w:rPr>
              <w:t>Name:</w:t>
            </w:r>
          </w:p>
        </w:tc>
        <w:tc>
          <w:tcPr>
            <w:tcW w:w="4440" w:type="dxa"/>
            <w:vAlign w:val="bottom"/>
          </w:tcPr>
          <w:p>
            <w:pPr>
              <w:ind w:left="20"/>
              <w:spacing w:after="0"/>
              <w:rPr>
                <w:sz w:val="20"/>
                <w:szCs w:val="20"/>
                <w:color w:val="auto"/>
              </w:rPr>
            </w:pPr>
            <w:r>
              <w:rPr>
                <w:rFonts w:ascii="Arial" w:cs="Arial" w:eastAsia="Arial" w:hAnsi="Arial"/>
                <w:sz w:val="18"/>
                <w:szCs w:val="18"/>
                <w:color w:val="auto"/>
              </w:rPr>
              <w:t>Jon Kessler</w:t>
            </w:r>
          </w:p>
        </w:tc>
      </w:tr>
      <w:tr>
        <w:trPr>
          <w:trHeight w:val="270"/>
        </w:trPr>
        <w:tc>
          <w:tcPr>
            <w:tcW w:w="3620" w:type="dxa"/>
            <w:vAlign w:val="bottom"/>
          </w:tcPr>
          <w:p>
            <w:pPr>
              <w:spacing w:after="0"/>
              <w:rPr>
                <w:sz w:val="23"/>
                <w:szCs w:val="23"/>
                <w:color w:val="auto"/>
              </w:rPr>
            </w:pPr>
          </w:p>
        </w:tc>
        <w:tc>
          <w:tcPr>
            <w:tcW w:w="3320" w:type="dxa"/>
            <w:vAlign w:val="bottom"/>
          </w:tcPr>
          <w:p>
            <w:pPr>
              <w:ind w:left="220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689"/>
        </w:trPr>
        <w:tc>
          <w:tcPr>
            <w:tcW w:w="3620" w:type="dxa"/>
            <w:vAlign w:val="bottom"/>
          </w:tcPr>
          <w:p>
            <w:pPr>
              <w:spacing w:after="0"/>
              <w:rPr>
                <w:sz w:val="24"/>
                <w:szCs w:val="24"/>
                <w:color w:val="auto"/>
              </w:rPr>
            </w:pPr>
          </w:p>
        </w:tc>
        <w:tc>
          <w:tcPr>
            <w:tcW w:w="3320" w:type="dxa"/>
            <w:vAlign w:val="bottom"/>
          </w:tcPr>
          <w:p>
            <w:pPr>
              <w:ind w:left="1900"/>
              <w:spacing w:after="0"/>
              <w:rPr>
                <w:sz w:val="20"/>
                <w:szCs w:val="20"/>
                <w:color w:val="auto"/>
              </w:rPr>
            </w:pPr>
            <w:r>
              <w:rPr>
                <w:rFonts w:ascii="Arial" w:cs="Arial" w:eastAsia="Arial" w:hAnsi="Arial"/>
                <w:sz w:val="18"/>
                <w:szCs w:val="18"/>
                <w:color w:val="auto"/>
              </w:rPr>
              <w:t>-81-</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Darcy Mott,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Robert W. Selander</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Robert W. Selander</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Chairman of the Board, 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Jon Kessler</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Jon Kessler</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Darcy Mott</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Darcy Mott</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(Principal Financial and Accounting Officer)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Frank A. Corvino</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Frank A. Corvino</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Adrian T. Dillon</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Adrian T. Dillon</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Evelyn Dilsaver</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Evelyn Dilsaver</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Frank T. Medici</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Frank T. Medici</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Stephen D. Neeleman, M.D.</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Stephen D. Neeleman, M.D.</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Ian Sacks</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Ian Sacks</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1"/>
        </w:trPr>
        <w:tc>
          <w:tcPr>
            <w:tcW w:w="2000" w:type="dxa"/>
            <w:vAlign w:val="bottom"/>
          </w:tcPr>
          <w:p>
            <w:pPr>
              <w:spacing w:after="0"/>
              <w:rPr>
                <w:sz w:val="20"/>
                <w:szCs w:val="20"/>
                <w:color w:val="auto"/>
              </w:rPr>
            </w:pPr>
            <w:r>
              <w:rPr>
                <w:rFonts w:ascii="Arial" w:cs="Arial" w:eastAsia="Arial" w:hAnsi="Arial"/>
                <w:sz w:val="14"/>
                <w:szCs w:val="14"/>
                <w:color w:val="auto"/>
              </w:rPr>
              <w:t>Date: March 28, 2018</w:t>
            </w:r>
          </w:p>
        </w:tc>
        <w:tc>
          <w:tcPr>
            <w:tcW w:w="1740" w:type="dxa"/>
            <w:vAlign w:val="bottom"/>
          </w:tcPr>
          <w:p>
            <w:pPr>
              <w:ind w:left="620"/>
              <w:spacing w:after="0"/>
              <w:rPr>
                <w:sz w:val="20"/>
                <w:szCs w:val="20"/>
                <w:color w:val="auto"/>
              </w:rPr>
            </w:pPr>
            <w:r>
              <w:rPr>
                <w:rFonts w:ascii="Arial" w:cs="Arial" w:eastAsia="Arial" w:hAnsi="Arial"/>
                <w:sz w:val="14"/>
                <w:szCs w:val="14"/>
                <w:color w:val="auto"/>
              </w:rPr>
              <w:t>By:</w:t>
            </w:r>
          </w:p>
        </w:tc>
        <w:tc>
          <w:tcPr>
            <w:tcW w:w="7640" w:type="dxa"/>
            <w:vAlign w:val="bottom"/>
          </w:tcPr>
          <w:p>
            <w:pPr>
              <w:ind w:left="20"/>
              <w:spacing w:after="0"/>
              <w:rPr>
                <w:sz w:val="20"/>
                <w:szCs w:val="20"/>
                <w:color w:val="auto"/>
              </w:rPr>
            </w:pPr>
            <w:r>
              <w:rPr>
                <w:rFonts w:ascii="Arial" w:cs="Arial" w:eastAsia="Arial" w:hAnsi="Arial"/>
                <w:sz w:val="14"/>
                <w:szCs w:val="14"/>
                <w:color w:val="auto"/>
              </w:rPr>
              <w:t>/s/ Gayle Wellborn</w:t>
            </w:r>
          </w:p>
        </w:tc>
      </w:tr>
      <w:tr>
        <w:trPr>
          <w:trHeight w:val="66"/>
        </w:trPr>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r>
      <w:tr>
        <w:trPr>
          <w:trHeight w:val="238"/>
        </w:trPr>
        <w:tc>
          <w:tcPr>
            <w:tcW w:w="2000" w:type="dxa"/>
            <w:vAlign w:val="bottom"/>
          </w:tcPr>
          <w:p>
            <w:pPr>
              <w:spacing w:after="0"/>
              <w:rPr>
                <w:sz w:val="20"/>
                <w:szCs w:val="20"/>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Name:</w:t>
            </w:r>
          </w:p>
        </w:tc>
        <w:tc>
          <w:tcPr>
            <w:tcW w:w="7640" w:type="dxa"/>
            <w:vAlign w:val="bottom"/>
          </w:tcPr>
          <w:p>
            <w:pPr>
              <w:ind w:left="20"/>
              <w:spacing w:after="0"/>
              <w:rPr>
                <w:sz w:val="20"/>
                <w:szCs w:val="20"/>
                <w:color w:val="auto"/>
              </w:rPr>
            </w:pPr>
            <w:r>
              <w:rPr>
                <w:rFonts w:ascii="Arial" w:cs="Arial" w:eastAsia="Arial" w:hAnsi="Arial"/>
                <w:sz w:val="14"/>
                <w:szCs w:val="14"/>
                <w:color w:val="auto"/>
              </w:rPr>
              <w:t>Gayle Wellborn</w:t>
            </w:r>
          </w:p>
        </w:tc>
      </w:tr>
      <w:tr>
        <w:trPr>
          <w:trHeight w:val="270"/>
        </w:trPr>
        <w:tc>
          <w:tcPr>
            <w:tcW w:w="2000" w:type="dxa"/>
            <w:vAlign w:val="bottom"/>
          </w:tcPr>
          <w:p>
            <w:pPr>
              <w:spacing w:after="0"/>
              <w:rPr>
                <w:sz w:val="23"/>
                <w:szCs w:val="23"/>
                <w:color w:val="auto"/>
              </w:rPr>
            </w:pPr>
          </w:p>
        </w:tc>
        <w:tc>
          <w:tcPr>
            <w:tcW w:w="1740" w:type="dxa"/>
            <w:vAlign w:val="bottom"/>
          </w:tcPr>
          <w:p>
            <w:pPr>
              <w:ind w:left="620"/>
              <w:spacing w:after="0"/>
              <w:rPr>
                <w:sz w:val="20"/>
                <w:szCs w:val="20"/>
                <w:color w:val="auto"/>
              </w:rPr>
            </w:pPr>
            <w:r>
              <w:rPr>
                <w:rFonts w:ascii="Arial" w:cs="Arial" w:eastAsia="Arial" w:hAnsi="Arial"/>
                <w:sz w:val="14"/>
                <w:szCs w:val="14"/>
                <w:color w:val="auto"/>
              </w:rPr>
              <w:t>Title:</w:t>
            </w:r>
          </w:p>
        </w:tc>
        <w:tc>
          <w:tcPr>
            <w:tcW w:w="764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140" w:right="239" w:bottom="1440" w:gutter="0" w:footer="0" w:header="0"/>
          <w:type w:val="continuous"/>
        </w:sectPr>
      </w:pPr>
    </w:p>
    <w:bookmarkStart w:id="84" w:name="page85"/>
    <w:bookmarkEnd w:id="84"/>
    <w:p>
      <w:pPr>
        <w:ind w:left="4560"/>
        <w:spacing w:after="0"/>
        <w:rPr>
          <w:sz w:val="20"/>
          <w:szCs w:val="20"/>
          <w:color w:val="auto"/>
        </w:rPr>
      </w:pPr>
      <w:r>
        <w:rPr>
          <w:rFonts w:ascii="Arial" w:cs="Arial" w:eastAsia="Arial" w:hAnsi="Arial"/>
          <w:sz w:val="22"/>
          <w:szCs w:val="22"/>
          <w:b w:val="1"/>
          <w:bCs w:val="1"/>
          <w:color w:val="auto"/>
        </w:rPr>
        <w:t>HEALTHEQUITY, INC.</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AMENDED AND RESTATED NON-EMPLOYEE</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DIRECTOR COMPENSATION POLICY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(as amended and restated effective as of November 30, 2017)</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HealthEquity,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believes that, in addition to cash compensation, the granting of equity-based compensation representing the right to acquire the Company’s common stock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to members (“</w:t>
      </w:r>
      <w:r>
        <w:rPr>
          <w:rFonts w:ascii="Arial" w:cs="Arial" w:eastAsia="Arial" w:hAnsi="Arial"/>
          <w:sz w:val="21"/>
          <w:szCs w:val="21"/>
          <w:b w:val="1"/>
          <w:bCs w:val="1"/>
          <w:i w:val="1"/>
          <w:iCs w:val="1"/>
          <w:color w:val="auto"/>
        </w:rPr>
        <w:t>Directors</w:t>
      </w:r>
      <w:r>
        <w:rPr>
          <w:rFonts w:ascii="Arial" w:cs="Arial" w:eastAsia="Arial" w:hAnsi="Arial"/>
          <w:sz w:val="21"/>
          <w:szCs w:val="21"/>
          <w:color w:val="auto"/>
        </w:rPr>
        <w:t>”) of its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represents a powerful tool to attract, retain and reward Directors who are not employees of the Company (“</w:t>
      </w:r>
      <w:r>
        <w:rPr>
          <w:rFonts w:ascii="Arial" w:cs="Arial" w:eastAsia="Arial" w:hAnsi="Arial"/>
          <w:sz w:val="21"/>
          <w:szCs w:val="21"/>
          <w:b w:val="1"/>
          <w:bCs w:val="1"/>
          <w:i w:val="1"/>
          <w:iCs w:val="1"/>
          <w:color w:val="auto"/>
        </w:rPr>
        <w:t>Non-Employee Directors</w:t>
      </w:r>
      <w:r>
        <w:rPr>
          <w:rFonts w:ascii="Arial" w:cs="Arial" w:eastAsia="Arial" w:hAnsi="Arial"/>
          <w:sz w:val="21"/>
          <w:szCs w:val="21"/>
          <w:color w:val="auto"/>
        </w:rPr>
        <w:t>”) and to align the interests of its Non-Employee Directors with those of its stockholders. This Amended and Restated Non-Employee Director Compensation Policy (this “</w:t>
      </w:r>
      <w:r>
        <w:rPr>
          <w:rFonts w:ascii="Arial" w:cs="Arial" w:eastAsia="Arial" w:hAnsi="Arial"/>
          <w:sz w:val="21"/>
          <w:szCs w:val="21"/>
          <w:b w:val="1"/>
          <w:bCs w:val="1"/>
          <w:i w:val="1"/>
          <w:iCs w:val="1"/>
          <w:color w:val="auto"/>
        </w:rPr>
        <w:t>Policy</w:t>
      </w:r>
      <w:r>
        <w:rPr>
          <w:rFonts w:ascii="Arial" w:cs="Arial" w:eastAsia="Arial" w:hAnsi="Arial"/>
          <w:sz w:val="21"/>
          <w:szCs w:val="21"/>
          <w:color w:val="auto"/>
        </w:rPr>
        <w:t>”), is intended to establish the Company’s policy regarding cash compensation and equity grants to its Non-Employee Directors. Unless otherwise defined herein, capitalized terms used in this Policy will have the meaning given to such term in the Company’s 2014 Equity Incentive Plan, as amended and restated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Non-Employee Directors shall be solely responsible for any tax obligations they incur as a result of any compensation received under this Policy.</w:t>
      </w:r>
    </w:p>
    <w:p>
      <w:pPr>
        <w:spacing w:after="0" w:line="18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Cash Compensation</w:t>
      </w:r>
    </w:p>
    <w:p>
      <w:pPr>
        <w:spacing w:after="0" w:line="219" w:lineRule="exact"/>
        <w:rPr>
          <w:rFonts w:ascii="Arial" w:cs="Arial" w:eastAsia="Arial" w:hAnsi="Arial"/>
          <w:sz w:val="22"/>
          <w:szCs w:val="22"/>
          <w:color w:val="auto"/>
        </w:rPr>
      </w:pPr>
    </w:p>
    <w:p>
      <w:pPr>
        <w:jc w:val="both"/>
        <w:ind w:firstLine="656"/>
        <w:spacing w:after="0" w:line="263" w:lineRule="auto"/>
        <w:tabs>
          <w:tab w:leader="none" w:pos="1104"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Annual Retainer Fee</w:t>
      </w:r>
      <w:r>
        <w:rPr>
          <w:rFonts w:ascii="Arial" w:cs="Arial" w:eastAsia="Arial" w:hAnsi="Arial"/>
          <w:sz w:val="21"/>
          <w:szCs w:val="21"/>
          <w:color w:val="auto"/>
        </w:rPr>
        <w:t>. The Company will pay each Non-Employee Director an annual fee of $40,000 for serving on the Board (the “</w:t>
      </w:r>
      <w:r>
        <w:rPr>
          <w:rFonts w:ascii="Arial" w:cs="Arial" w:eastAsia="Arial" w:hAnsi="Arial"/>
          <w:sz w:val="21"/>
          <w:szCs w:val="21"/>
          <w:b w:val="1"/>
          <w:bCs w:val="1"/>
          <w:i w:val="1"/>
          <w:iCs w:val="1"/>
          <w:color w:val="auto"/>
        </w:rPr>
        <w:t>Annual Fee</w:t>
      </w:r>
      <w:r>
        <w:rPr>
          <w:rFonts w:ascii="Arial" w:cs="Arial" w:eastAsia="Arial" w:hAnsi="Arial"/>
          <w:sz w:val="21"/>
          <w:szCs w:val="21"/>
          <w:color w:val="auto"/>
        </w:rPr>
        <w:t>”). Each Annual Fee will be paid ratably on a fiscal quarterly basis at the beginning of each quarter to each Non-Employee Director who will be serving in the relevant capacity for such fiscal quarter. For purposes of clarification, no ratable payment of an annual retainer will be paid to a Non-Employee Director who is not continuing as a Non-Employee Director following the start of the applicable Company fiscal quarter.</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184"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Annual Audit and Risk Committee Chairperson Retainer Fee</w:t>
      </w:r>
      <w:r>
        <w:rPr>
          <w:rFonts w:ascii="Arial" w:cs="Arial" w:eastAsia="Arial" w:hAnsi="Arial"/>
          <w:sz w:val="22"/>
          <w:szCs w:val="22"/>
          <w:color w:val="auto"/>
        </w:rPr>
        <w:t>. The Company will pay each Non-Employee Director who serves as chairperson of the Audit and Risk Committee an additional annual fee of $40,000 for serving as the chairperson (the “</w:t>
      </w:r>
      <w:r>
        <w:rPr>
          <w:rFonts w:ascii="Arial" w:cs="Arial" w:eastAsia="Arial" w:hAnsi="Arial"/>
          <w:sz w:val="22"/>
          <w:szCs w:val="22"/>
          <w:b w:val="1"/>
          <w:bCs w:val="1"/>
          <w:i w:val="1"/>
          <w:iCs w:val="1"/>
          <w:color w:val="auto"/>
        </w:rPr>
        <w:t>Annual Audit and Risk Committee Chairperson Fee</w:t>
      </w:r>
      <w:r>
        <w:rPr>
          <w:rFonts w:ascii="Arial" w:cs="Arial" w:eastAsia="Arial" w:hAnsi="Arial"/>
          <w:sz w:val="22"/>
          <w:szCs w:val="22"/>
          <w:color w:val="auto"/>
        </w:rPr>
        <w:t>”). The Annual Audit and Risk Committee Chairperson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the chairperson of the Audit and Risk Committee, following the start of the applicable Company fiscal quarter.</w:t>
      </w:r>
    </w:p>
    <w:p>
      <w:pPr>
        <w:spacing w:after="0" w:line="197" w:lineRule="exact"/>
        <w:rPr>
          <w:rFonts w:ascii="Arial" w:cs="Arial" w:eastAsia="Arial" w:hAnsi="Arial"/>
          <w:sz w:val="22"/>
          <w:szCs w:val="22"/>
          <w:color w:val="auto"/>
        </w:rPr>
      </w:pPr>
    </w:p>
    <w:p>
      <w:pPr>
        <w:jc w:val="both"/>
        <w:ind w:firstLine="656"/>
        <w:spacing w:after="0" w:line="247" w:lineRule="auto"/>
        <w:tabs>
          <w:tab w:leader="none" w:pos="1199"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Annual Compensation Committee Chairperson Retainer Fee</w:t>
      </w:r>
      <w:r>
        <w:rPr>
          <w:rFonts w:ascii="Arial" w:cs="Arial" w:eastAsia="Arial" w:hAnsi="Arial"/>
          <w:sz w:val="22"/>
          <w:szCs w:val="22"/>
          <w:color w:val="auto"/>
        </w:rPr>
        <w:t>. The Company will pay each Non-Employee Director who serves as chairperson of the Compensation Committee an additional annual fee of $15,000 for serving as the chairperson (the “</w:t>
      </w:r>
      <w:r>
        <w:rPr>
          <w:rFonts w:ascii="Arial" w:cs="Arial" w:eastAsia="Arial" w:hAnsi="Arial"/>
          <w:sz w:val="22"/>
          <w:szCs w:val="22"/>
          <w:b w:val="1"/>
          <w:bCs w:val="1"/>
          <w:i w:val="1"/>
          <w:iCs w:val="1"/>
          <w:color w:val="auto"/>
        </w:rPr>
        <w:t>Annual Compensation Committee Chairperson Fee</w:t>
      </w:r>
      <w:r>
        <w:rPr>
          <w:rFonts w:ascii="Arial" w:cs="Arial" w:eastAsia="Arial" w:hAnsi="Arial"/>
          <w:sz w:val="22"/>
          <w:szCs w:val="22"/>
          <w:color w:val="auto"/>
        </w:rPr>
        <w:t>”). The Annual Compensation Committee Chairperson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22"/>
          <w:szCs w:val="22"/>
          <w:color w:val="auto"/>
        </w:rPr>
        <w:t>who is not continuing as the chairperson of the Compensation Committee, following the start of the applicable Company fiscal quarter.</w:t>
      </w:r>
    </w:p>
    <w:p>
      <w:pPr>
        <w:spacing w:after="0" w:line="175" w:lineRule="exact"/>
        <w:rPr>
          <w:sz w:val="20"/>
          <w:szCs w:val="20"/>
          <w:color w:val="auto"/>
        </w:rPr>
      </w:pPr>
    </w:p>
    <w:p>
      <w:pPr>
        <w:jc w:val="both"/>
        <w:ind w:firstLine="656"/>
        <w:spacing w:after="0" w:line="259" w:lineRule="auto"/>
        <w:tabs>
          <w:tab w:leader="none" w:pos="119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Annual Nominating and Corporate Governance Committee Chairperson Retainer Fee</w:t>
      </w:r>
      <w:r>
        <w:rPr>
          <w:rFonts w:ascii="Arial" w:cs="Arial" w:eastAsia="Arial" w:hAnsi="Arial"/>
          <w:sz w:val="21"/>
          <w:szCs w:val="21"/>
          <w:color w:val="auto"/>
        </w:rPr>
        <w:t>. The Company will pay each Non-Employee Director who serves as chairperson of the Nominating and Corporate Governance Committee an additional annual fee of $5,000 for serving as the chairperson (the “</w:t>
      </w:r>
      <w:r>
        <w:rPr>
          <w:rFonts w:ascii="Arial" w:cs="Arial" w:eastAsia="Arial" w:hAnsi="Arial"/>
          <w:sz w:val="21"/>
          <w:szCs w:val="21"/>
          <w:b w:val="1"/>
          <w:bCs w:val="1"/>
          <w:i w:val="1"/>
          <w:iCs w:val="1"/>
          <w:color w:val="auto"/>
        </w:rPr>
        <w:t>Annual Nominating and Corporate Governance Committee Chairperson Fee</w:t>
      </w:r>
      <w:r>
        <w:rPr>
          <w:rFonts w:ascii="Arial" w:cs="Arial" w:eastAsia="Arial" w:hAnsi="Arial"/>
          <w:sz w:val="21"/>
          <w:szCs w:val="21"/>
          <w:color w:val="auto"/>
        </w:rPr>
        <w:t>”). The Annual Nominating and Corporate Governance Committee Chairperson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the chairperson of the Nominating and Corporate Governance Committee, following the start of the applicable Company fiscal quarter.</w:t>
      </w:r>
    </w:p>
    <w:p>
      <w:pPr>
        <w:spacing w:after="0" w:line="184" w:lineRule="exact"/>
        <w:rPr>
          <w:rFonts w:ascii="Arial" w:cs="Arial" w:eastAsia="Arial" w:hAnsi="Arial"/>
          <w:sz w:val="21"/>
          <w:szCs w:val="21"/>
          <w:color w:val="auto"/>
        </w:rPr>
      </w:pPr>
    </w:p>
    <w:p>
      <w:pPr>
        <w:jc w:val="both"/>
        <w:ind w:firstLine="656"/>
        <w:spacing w:after="0" w:line="261" w:lineRule="auto"/>
        <w:tabs>
          <w:tab w:leader="none" w:pos="114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Annual Chairman Retainer Fee</w:t>
      </w:r>
      <w:r>
        <w:rPr>
          <w:rFonts w:ascii="Arial" w:cs="Arial" w:eastAsia="Arial" w:hAnsi="Arial"/>
          <w:sz w:val="21"/>
          <w:szCs w:val="21"/>
          <w:color w:val="auto"/>
        </w:rPr>
        <w:t>. The Company will pay each Non-Employee Director who serves as Chairman of the Board an additional annual fee of $100,000 for serving as the Chairman of the Board (the “</w:t>
      </w:r>
      <w:r>
        <w:rPr>
          <w:rFonts w:ascii="Arial" w:cs="Arial" w:eastAsia="Arial" w:hAnsi="Arial"/>
          <w:sz w:val="21"/>
          <w:szCs w:val="21"/>
          <w:b w:val="1"/>
          <w:bCs w:val="1"/>
          <w:i w:val="1"/>
          <w:iCs w:val="1"/>
          <w:color w:val="auto"/>
        </w:rPr>
        <w:t>Annual Board Chairman Fee</w:t>
      </w:r>
      <w:r>
        <w:rPr>
          <w:rFonts w:ascii="Arial" w:cs="Arial" w:eastAsia="Arial" w:hAnsi="Arial"/>
          <w:sz w:val="21"/>
          <w:szCs w:val="21"/>
          <w:color w:val="auto"/>
        </w:rPr>
        <w:t>”). The Annual Board Chairman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the Chairman of the Board, following the start of the applicable Company fiscal quarter.</w:t>
      </w:r>
    </w:p>
    <w:p>
      <w:pPr>
        <w:spacing w:after="0" w:line="180" w:lineRule="exact"/>
        <w:rPr>
          <w:rFonts w:ascii="Arial" w:cs="Arial" w:eastAsia="Arial" w:hAnsi="Arial"/>
          <w:sz w:val="21"/>
          <w:szCs w:val="21"/>
          <w:color w:val="auto"/>
        </w:rPr>
      </w:pPr>
    </w:p>
    <w:p>
      <w:pPr>
        <w:jc w:val="both"/>
        <w:ind w:firstLine="656"/>
        <w:spacing w:after="0" w:line="286" w:lineRule="auto"/>
        <w:tabs>
          <w:tab w:leader="none" w:pos="110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Form of Payment</w:t>
      </w:r>
      <w:r>
        <w:rPr>
          <w:rFonts w:ascii="Arial" w:cs="Arial" w:eastAsia="Arial" w:hAnsi="Arial"/>
          <w:sz w:val="19"/>
          <w:szCs w:val="19"/>
          <w:color w:val="auto"/>
        </w:rPr>
        <w:t>. Unless otherwise elected by a Non-Employee Director as herein provided, all retainer fees payable pursuant to this Section I shall be paid by the Company in cash. A Non-Employee Director may elect to have all (but not less than all) of his or her Annual Fee, Annual Audit and Risk Committee Chairperson Fee, Annual Compensation Committee Chairperson Fee, Annual Nominating and Corporate Governance Committee Chairperson Fee and/or Annual Board Chairman Fee, as applicable, in respect of each fiscal year be paid in Restricted Stock Unit Awards under the Plan (rounded to the nearest whole share of Common Stock using standard rounding principles) with an aggregate fair value on the date of grant equal to the amount of the cash retainer fee(s) elected to be received in Restricted Stock Unit Awards on the first day of the fiscal year, which shall vest in equal installments at the beginning of each quarter to which the cash retainer fee relates. For these purposes, the grant date fair value of each Restricted Stock Unit Award shall be equal to the Fair Market Value of a Share on the date of grant. To make such election, a Non-Employee Director shall be required to complete a written election form (“</w:t>
      </w:r>
      <w:r>
        <w:rPr>
          <w:rFonts w:ascii="Arial" w:cs="Arial" w:eastAsia="Arial" w:hAnsi="Arial"/>
          <w:sz w:val="19"/>
          <w:szCs w:val="19"/>
          <w:b w:val="1"/>
          <w:bCs w:val="1"/>
          <w:i w:val="1"/>
          <w:iCs w:val="1"/>
          <w:color w:val="auto"/>
        </w:rPr>
        <w:t>Form of Payment Election Form</w:t>
      </w:r>
      <w:r>
        <w:rPr>
          <w:rFonts w:ascii="Arial" w:cs="Arial" w:eastAsia="Arial" w:hAnsi="Arial"/>
          <w:sz w:val="19"/>
          <w:szCs w:val="19"/>
          <w:color w:val="auto"/>
        </w:rPr>
        <w:t>”) in such form as the Company may prescribe from time to time, and file such completed Form of Payment Election Form with the Company prior to the first day of the calendar year during which the fiscal year to which such cash retainer fee(s) apply commences. Once a Form of Payment Election Form is filed with the Company, it shall be irrevocable with respect to the cash retainer fee(s) for the immediately following fiscal year.</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656"/>
        <w:spacing w:after="0" w:line="253" w:lineRule="auto"/>
        <w:tabs>
          <w:tab w:leader="none" w:pos="1251"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Election for First Year of Service</w:t>
      </w:r>
      <w:r>
        <w:rPr>
          <w:rFonts w:ascii="Arial" w:cs="Arial" w:eastAsia="Arial" w:hAnsi="Arial"/>
          <w:sz w:val="22"/>
          <w:szCs w:val="22"/>
          <w:color w:val="auto"/>
        </w:rPr>
        <w:t>. Notwithstanding the foregoing, for the fiscal year in which a Non-Employee Director commences service with the Company, such Non-Employee Director may file a Form of Payment Election Form with the Company on or before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commencement of his or her service and such election shall apply to all applicable annual retainers for the then current fiscal year that are due and payable after the date such Form of Payment Election Form is filed.</w:t>
      </w:r>
    </w:p>
    <w:p>
      <w:pPr>
        <w:spacing w:after="0" w:line="175" w:lineRule="exact"/>
        <w:rPr>
          <w:sz w:val="20"/>
          <w:szCs w:val="20"/>
          <w:color w:val="auto"/>
        </w:rPr>
      </w:pPr>
    </w:p>
    <w:p>
      <w:pPr>
        <w:ind w:firstLine="656"/>
        <w:spacing w:after="0" w:line="263" w:lineRule="auto"/>
        <w:tabs>
          <w:tab w:leader="none" w:pos="111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Travel Expenses</w:t>
      </w:r>
      <w:r>
        <w:rPr>
          <w:rFonts w:ascii="Arial" w:cs="Arial" w:eastAsia="Arial" w:hAnsi="Arial"/>
          <w:sz w:val="22"/>
          <w:szCs w:val="22"/>
          <w:color w:val="auto"/>
        </w:rPr>
        <w:t>. Each Non-Employee Director’s reasonable, customary and documented travel expenses to Board and committee meetings will be reimbursed by the Company.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09"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Revisions</w:t>
      </w:r>
      <w:r>
        <w:rPr>
          <w:rFonts w:ascii="Arial" w:cs="Arial" w:eastAsia="Arial" w:hAnsi="Arial"/>
          <w:sz w:val="22"/>
          <w:szCs w:val="22"/>
          <w:color w:val="auto"/>
        </w:rPr>
        <w:t>. The Board, in its discretion, may change and otherwise revise the terms of the cash compensation granted under this Policy (including, without limitation, the amount of cash compensation to be paid) on or after the date the Board determines to make any such change or revision.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08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Payments under this Policy are intended to be exempt from Section 409A of the Internal Revenue Code of 1986, as amended, under Treasury Regulation §§ 1.409A-1(b)(4) (“short-term deferrals”) (“</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and this Policy shall be administered, interpreted and construed accordingly.</w:t>
      </w:r>
    </w:p>
    <w:p>
      <w:pPr>
        <w:spacing w:after="0" w:line="186"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Non-Employee Directors will be entitled to receive all types of Awards (except Incentive Stock Options) under the Plan, including discretionary Awards not covered under this Policy. All grants of Awards to Non-Employee Directors pursuant to Sections II.(b) and (c) of this Policy will be automatic and nondiscretionary, except as otherwise provided herein, and will be made in accordance with the following provisions:</w:t>
      </w:r>
    </w:p>
    <w:p>
      <w:pPr>
        <w:spacing w:after="0" w:line="188" w:lineRule="exact"/>
        <w:rPr>
          <w:sz w:val="20"/>
          <w:szCs w:val="20"/>
          <w:color w:val="auto"/>
        </w:rPr>
      </w:pPr>
    </w:p>
    <w:p>
      <w:pPr>
        <w:jc w:val="both"/>
        <w:ind w:firstLine="656"/>
        <w:spacing w:after="0" w:line="253" w:lineRule="auto"/>
        <w:tabs>
          <w:tab w:leader="none" w:pos="115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Non-Employee Directors will be granted Awards under this Policy or to determine the number of Shares to be covered by such Awards (except as provided in Sections II.(g) and (h) below and Section 10 of the Plan).</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211"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Initial Award</w:t>
      </w:r>
      <w:r>
        <w:rPr>
          <w:rFonts w:ascii="Arial" w:cs="Arial" w:eastAsia="Arial" w:hAnsi="Arial"/>
          <w:sz w:val="19"/>
          <w:szCs w:val="19"/>
          <w:color w:val="auto"/>
        </w:rPr>
        <w:t>. Each individual who becomes a Non-Employee Director will be automatically granted an Award of either Options or Restricted Stock Unit Awards with a grant date fair value equal to $165,000 (the “</w:t>
      </w:r>
      <w:r>
        <w:rPr>
          <w:rFonts w:ascii="Arial" w:cs="Arial" w:eastAsia="Arial" w:hAnsi="Arial"/>
          <w:sz w:val="19"/>
          <w:szCs w:val="19"/>
          <w:b w:val="1"/>
          <w:bCs w:val="1"/>
          <w:i w:val="1"/>
          <w:iCs w:val="1"/>
          <w:color w:val="auto"/>
        </w:rPr>
        <w:t>Initial Award</w:t>
      </w:r>
      <w:r>
        <w:rPr>
          <w:rFonts w:ascii="Arial" w:cs="Arial" w:eastAsia="Arial" w:hAnsi="Arial"/>
          <w:sz w:val="19"/>
          <w:szCs w:val="19"/>
          <w:color w:val="auto"/>
        </w:rPr>
        <w:t>”) on or about the date on which such individual first becomes a Non-Employee Director, whether through election by the stockholders of the Company or appointment by the Board to fill a vacancy; provided, however, that a Director who is an Employee of the Company (an “</w:t>
      </w:r>
      <w:r>
        <w:rPr>
          <w:rFonts w:ascii="Arial" w:cs="Arial" w:eastAsia="Arial" w:hAnsi="Arial"/>
          <w:sz w:val="19"/>
          <w:szCs w:val="19"/>
          <w:b w:val="1"/>
          <w:bCs w:val="1"/>
          <w:i w:val="1"/>
          <w:iCs w:val="1"/>
          <w:color w:val="auto"/>
        </w:rPr>
        <w:t>Inside Director</w:t>
      </w:r>
      <w:r>
        <w:rPr>
          <w:rFonts w:ascii="Arial" w:cs="Arial" w:eastAsia="Arial" w:hAnsi="Arial"/>
          <w:sz w:val="19"/>
          <w:szCs w:val="19"/>
          <w:color w:val="auto"/>
        </w:rPr>
        <w:t>”) who ceases to be an Inside Director, but who remains a Director, will not receive an Initial Award.</w:t>
      </w:r>
    </w:p>
    <w:p>
      <w:pPr>
        <w:spacing w:after="0" w:line="147" w:lineRule="exact"/>
        <w:rPr>
          <w:rFonts w:ascii="Arial" w:cs="Arial" w:eastAsia="Arial" w:hAnsi="Arial"/>
          <w:sz w:val="19"/>
          <w:szCs w:val="19"/>
          <w:color w:val="auto"/>
        </w:rPr>
      </w:pPr>
    </w:p>
    <w:p>
      <w:pPr>
        <w:jc w:val="both"/>
        <w:ind w:firstLine="656"/>
        <w:spacing w:after="0" w:line="247" w:lineRule="auto"/>
        <w:tabs>
          <w:tab w:leader="none" w:pos="1145"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Annual Award</w:t>
      </w:r>
      <w:r>
        <w:rPr>
          <w:rFonts w:ascii="Arial" w:cs="Arial" w:eastAsia="Arial" w:hAnsi="Arial"/>
          <w:sz w:val="22"/>
          <w:szCs w:val="22"/>
          <w:color w:val="auto"/>
        </w:rPr>
        <w:t>. Each Non-Employee Director will be automatically granted an Award of either Options or Restricted Stock Unit Awards with a grant date fair value equal to $165,000 (an “</w:t>
      </w:r>
      <w:r>
        <w:rPr>
          <w:rFonts w:ascii="Arial" w:cs="Arial" w:eastAsia="Arial" w:hAnsi="Arial"/>
          <w:sz w:val="22"/>
          <w:szCs w:val="22"/>
          <w:b w:val="1"/>
          <w:bCs w:val="1"/>
          <w:i w:val="1"/>
          <w:iCs w:val="1"/>
          <w:color w:val="auto"/>
        </w:rPr>
        <w:t>Annual Award</w:t>
      </w:r>
      <w:r>
        <w:rPr>
          <w:rFonts w:ascii="Arial" w:cs="Arial" w:eastAsia="Arial" w:hAnsi="Arial"/>
          <w:sz w:val="22"/>
          <w:szCs w:val="22"/>
          <w:color w:val="auto"/>
        </w:rPr>
        <w:t>”) on the first day of each fiscal year; provided, however, that for any individual that first becomes a Non-Employee Director, whether through election by the stockholders of the Company or appointment by the Board to fill a vacancy, the Annual Award in respect of the fiscal year in which such individual first becomes a Non-Employee Director shall be pro-rated based on the number of days remaining in such fiscal year (the “</w:t>
      </w:r>
      <w:r>
        <w:rPr>
          <w:rFonts w:ascii="Arial" w:cs="Arial" w:eastAsia="Arial" w:hAnsi="Arial"/>
          <w:sz w:val="22"/>
          <w:szCs w:val="22"/>
          <w:b w:val="1"/>
          <w:bCs w:val="1"/>
          <w:i w:val="1"/>
          <w:iCs w:val="1"/>
          <w:color w:val="auto"/>
        </w:rPr>
        <w:t>Pro-Rata Annual Award</w:t>
      </w:r>
      <w:r>
        <w:rPr>
          <w:rFonts w:ascii="Arial" w:cs="Arial" w:eastAsia="Arial" w:hAnsi="Arial"/>
          <w:sz w:val="22"/>
          <w:szCs w:val="22"/>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87" w:name="page88"/>
    <w:bookmarkEnd w:id="87"/>
    <w:p>
      <w:pPr>
        <w:jc w:val="both"/>
        <w:ind w:firstLine="656"/>
        <w:spacing w:after="0" w:line="287" w:lineRule="auto"/>
        <w:tabs>
          <w:tab w:leader="none" w:pos="119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Type of Equity</w:t>
      </w:r>
      <w:r>
        <w:rPr>
          <w:rFonts w:ascii="Arial" w:cs="Arial" w:eastAsia="Arial" w:hAnsi="Arial"/>
          <w:sz w:val="19"/>
          <w:szCs w:val="19"/>
          <w:color w:val="auto"/>
        </w:rPr>
        <w:t>. Each Non-Employee Director shall make an election with respect to whether to receive the Initial Award or Annual Award by way of a grant (i) entirely in the form of Options, (ii) entirely in the form of Restricted Stock Unit Awards, or (iii) an award of an equal value of Options and Restricted Stock Unit Awards. For these purposes, the grant date fair value of each Restricted Stock Unit Award shall be equal to the Fair Market Value of a Share on the date of grant, and the grant date fair value of an Option shall be equal to the fair value of a Share on the date of grant, determined in accordance with Financial Accounting Standards Board Accounting Standards Codification Topic 718, or any successor provision, as applicable. To make such an election, a Non-Employee Director shall be required to complete a written election form (“</w:t>
      </w:r>
      <w:r>
        <w:rPr>
          <w:rFonts w:ascii="Arial" w:cs="Arial" w:eastAsia="Arial" w:hAnsi="Arial"/>
          <w:sz w:val="19"/>
          <w:szCs w:val="19"/>
          <w:b w:val="1"/>
          <w:bCs w:val="1"/>
          <w:i w:val="1"/>
          <w:iCs w:val="1"/>
          <w:color w:val="auto"/>
        </w:rPr>
        <w:t>Type of Equity Election Form</w:t>
      </w:r>
      <w:r>
        <w:rPr>
          <w:rFonts w:ascii="Arial" w:cs="Arial" w:eastAsia="Arial" w:hAnsi="Arial"/>
          <w:sz w:val="19"/>
          <w:szCs w:val="19"/>
          <w:color w:val="auto"/>
        </w:rPr>
        <w:t>”) in such form as the Company may prescribe from time to time. The Type of Equity Election Form with respect to each Annual Award must be filed with the Company prior to the first day of the calendar year during which the fiscal year to which such Annual Award relates. The Type of Equity Election Form with respect to each Initial Award or Pro-Rata Annual Award must be filed with the Company on or before commencement of the Non-Employee Director’s service. Once a Type of Equity Election Form is filed with the Company, it shall be irrevocable for the immediately following fiscal year or the then current fiscal year, as applicable.</w:t>
      </w:r>
    </w:p>
    <w:p>
      <w:pPr>
        <w:spacing w:after="0" w:line="159" w:lineRule="exact"/>
        <w:rPr>
          <w:rFonts w:ascii="Arial" w:cs="Arial" w:eastAsia="Arial" w:hAnsi="Arial"/>
          <w:sz w:val="19"/>
          <w:szCs w:val="19"/>
          <w:color w:val="auto"/>
        </w:rPr>
      </w:pPr>
    </w:p>
    <w:p>
      <w:pPr>
        <w:ind w:left="1120" w:hanging="464"/>
        <w:spacing w:after="0"/>
        <w:tabs>
          <w:tab w:leader="none" w:pos="11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Vesting Terms</w:t>
      </w:r>
      <w:r>
        <w:rPr>
          <w:rFonts w:ascii="Arial" w:cs="Arial" w:eastAsia="Arial" w:hAnsi="Arial"/>
          <w:sz w:val="22"/>
          <w:szCs w:val="22"/>
          <w:color w:val="auto"/>
        </w:rPr>
        <w:t>. The terms of each equity Award granted pursuant to this Policy will be as follows:</w:t>
      </w:r>
    </w:p>
    <w:p>
      <w:pPr>
        <w:spacing w:after="0" w:line="219" w:lineRule="exact"/>
        <w:rPr>
          <w:rFonts w:ascii="Arial" w:cs="Arial" w:eastAsia="Arial" w:hAnsi="Arial"/>
          <w:sz w:val="22"/>
          <w:szCs w:val="22"/>
          <w:color w:val="auto"/>
        </w:rPr>
      </w:pPr>
    </w:p>
    <w:p>
      <w:pPr>
        <w:jc w:val="both"/>
        <w:ind w:firstLine="1305"/>
        <w:spacing w:after="0" w:line="286" w:lineRule="auto"/>
        <w:tabs>
          <w:tab w:leader="none" w:pos="1759"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Options or Restricted Stock Unit Awards subject to the Initial Award will vest and, if applicable, become exercisable over a three (3) year period with one-third (1/3) of the Options or Restricted Stock Unit Awards subject to the Award vesting on each of the first three (3) annual anniversaries of the date on which the recipient first becomes a Director, provided that the Director continues to serve as a Director through such dates. The Options or Restricted Stock Unit Awards subject to the Annual Award will vest and, if applicable, become exercisable over a one (1) year period with fifty percent (50%) of the Options or Restricted Stock Unit Awards subject to the Annual Award vesting on the date of the annual meeting of the stockholders of the Company held during the fiscal year during which such Annual Award is granted and the remainder vesting on the last day of the fiscal year during which such Annual Award is granted, provided that the Director continues to serve as a Director through such dates. With respect to any Pro-Rata Annual Award that is granted in advance of the Annual Meeting for the fiscal year during which the grant is made, fifty percent (50%) of the Options or Restricted Stock Unit Awards subject to the Pro-Rata Annual Award will vest on the date of such Annual Meeting and fifty percent (50%) of the Options or Restricted Stock Unit Awards subject to the Pro-Rata Annual Award will vest on the last day of the Company’s fiscal year during which such grant was made, and with respect to any Pro-Rata Annual Award that is granted following the date of the Annual Meeting for the fiscal year during which the grant is made, one-hundred percent (100%) of the Options or Restricted Stock Unit Awards subject to the Pro-Rata Annual Award will vest on the last day of the Company’s fiscal year during which the grant was made, in each case provided that the Director continues to serve as a Director through such dates.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firstLine="1305"/>
        <w:spacing w:after="0" w:line="263" w:lineRule="auto"/>
        <w:tabs>
          <w:tab w:leader="none" w:pos="1817" w:val="left"/>
        </w:tabs>
        <w:numPr>
          <w:ilvl w:val="1"/>
          <w:numId w:val="3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Policy, the Awards granted under this Policy shall be subject to the terms and conditions of the Plan and an applicable Award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88" w:name="page89"/>
    <w:bookmarkEnd w:id="88"/>
    <w:p>
      <w:pPr>
        <w:jc w:val="both"/>
        <w:ind w:left="-656" w:firstLine="656"/>
        <w:spacing w:after="0" w:line="302" w:lineRule="auto"/>
        <w:tabs>
          <w:tab w:leader="none" w:pos="45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Deferral of Restricted Stock Units</w:t>
      </w:r>
      <w:r>
        <w:rPr>
          <w:rFonts w:ascii="Arial" w:cs="Arial" w:eastAsia="Arial" w:hAnsi="Arial"/>
          <w:sz w:val="19"/>
          <w:szCs w:val="19"/>
          <w:color w:val="auto"/>
        </w:rPr>
        <w:t>. The Board will provide Non-Employee Directors with the opportunity to defer the delivery of the proceeds of any vested Restricted Stock Units issuable under this Policy. Any such deferral election shall be subject to such rules, conditions and procedures as shall be determined by the Board, in its sole discretion, which rules, conditions and procedures shall at all times comply with the requirements of Section 409A, unless otherwise specifically determined by the Board.</w:t>
      </w:r>
    </w:p>
    <w:p>
      <w:pPr>
        <w:spacing w:after="0" w:line="142" w:lineRule="exact"/>
        <w:rPr>
          <w:rFonts w:ascii="Arial" w:cs="Arial" w:eastAsia="Arial" w:hAnsi="Arial"/>
          <w:sz w:val="19"/>
          <w:szCs w:val="19"/>
          <w:color w:val="auto"/>
        </w:rPr>
      </w:pPr>
    </w:p>
    <w:p>
      <w:pPr>
        <w:jc w:val="both"/>
        <w:ind w:left="-656" w:firstLine="656"/>
        <w:spacing w:after="0" w:line="271" w:lineRule="auto"/>
        <w:tabs>
          <w:tab w:leader="none" w:pos="4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Revisions</w:t>
      </w:r>
      <w:r>
        <w:rPr>
          <w:rFonts w:ascii="Arial" w:cs="Arial" w:eastAsia="Arial" w:hAnsi="Arial"/>
          <w:sz w:val="21"/>
          <w:szCs w:val="21"/>
          <w:color w:val="auto"/>
        </w:rPr>
        <w:t>. The Board in its discretion may change and otherwise revise the terms of Awards granted under this Policy, including, without limitation, the types of Awards, the number of Shares, and the exercise prices (if any) and vesting schedules for Awards granted on or after the date the Board determines to make any such change or revision.</w:t>
      </w:r>
    </w:p>
    <w:p>
      <w:pPr>
        <w:spacing w:after="0" w:line="167" w:lineRule="exact"/>
        <w:rPr>
          <w:rFonts w:ascii="Arial" w:cs="Arial" w:eastAsia="Arial" w:hAnsi="Arial"/>
          <w:sz w:val="21"/>
          <w:szCs w:val="21"/>
          <w:color w:val="auto"/>
        </w:rPr>
      </w:pPr>
    </w:p>
    <w:p>
      <w:pPr>
        <w:ind w:left="-656" w:firstLine="656"/>
        <w:spacing w:after="0" w:line="263" w:lineRule="auto"/>
        <w:tabs>
          <w:tab w:leader="none" w:pos="50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The number of Shares issuable pursuant to Initial Awards and Annual Awards to be granted under this Policy shall be adjusted in accordance with Section 9 of the Plan.</w:t>
      </w:r>
    </w:p>
    <w:p>
      <w:pPr>
        <w:spacing w:after="0" w:line="174" w:lineRule="exact"/>
        <w:rPr>
          <w:rFonts w:ascii="Arial" w:cs="Arial" w:eastAsia="Arial" w:hAnsi="Arial"/>
          <w:sz w:val="22"/>
          <w:szCs w:val="22"/>
          <w:color w:val="auto"/>
        </w:rPr>
      </w:pPr>
    </w:p>
    <w:p>
      <w:pPr>
        <w:ind w:left="4684"/>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46" w:lineRule="exact"/>
        <w:rPr>
          <w:rFonts w:ascii="Arial" w:cs="Arial" w:eastAsia="Arial" w:hAnsi="Arial"/>
          <w:sz w:val="22"/>
          <w:szCs w:val="22"/>
          <w:color w:val="auto"/>
        </w:rPr>
      </w:pPr>
    </w:p>
    <w:p>
      <w:pPr>
        <w:ind w:left="5004"/>
        <w:spacing w:after="0"/>
        <w:rPr>
          <w:rFonts w:ascii="Arial" w:cs="Arial" w:eastAsia="Arial" w:hAnsi="Arial"/>
          <w:sz w:val="22"/>
          <w:szCs w:val="22"/>
          <w:color w:val="auto"/>
        </w:rPr>
      </w:pPr>
      <w:r>
        <w:rPr>
          <w:rFonts w:ascii="Arial" w:cs="Arial" w:eastAsia="Arial" w:hAnsi="Arial"/>
          <w:sz w:val="22"/>
          <w:szCs w:val="22"/>
          <w:color w:val="auto"/>
        </w:rPr>
        <w:t>5</w:t>
      </w:r>
    </w:p>
    <w:p>
      <w:pPr>
        <w:sectPr>
          <w:pgSz w:w="11900" w:h="16838" w:orient="portrait"/>
          <w:cols w:equalWidth="0" w:num="1">
            <w:col w:w="10764"/>
          </w:cols>
          <w:pgMar w:left="896" w:top="59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333-206850) and Form S-8 (No. 333-197778, No. 333-204421, No. 333-210867 and No. 333-218937) of HealthEquity, Inc. of our report dated March 28, 2018 relating to the financial statements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60"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420" w:right="20" w:hanging="412"/>
        <w:spacing w:after="0" w:line="260"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40" w:hanging="412"/>
        <w:spacing w:after="0" w:line="253"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060" w:right="40" w:hanging="404"/>
        <w:spacing w:after="0" w:line="253"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580" w:hanging="404"/>
        <w:spacing w:after="0" w:line="253"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580" w:hanging="404"/>
        <w:spacing w:after="0" w:line="260"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20" w:hanging="404"/>
        <w:spacing w:after="0" w:line="253"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420" w:hanging="412"/>
        <w:spacing w:after="0" w:line="260"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220" w:hanging="404"/>
        <w:spacing w:after="0" w:line="260"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160" w:hanging="404"/>
        <w:spacing w:after="0" w:line="260"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March 28, 2018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ind w:left="14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vMerge w:val="continue"/>
          </w:tcPr>
          <w:p>
            <w:pPr>
              <w:spacing w:after="0"/>
              <w:rPr>
                <w:sz w:val="20"/>
                <w:szCs w:val="20"/>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35"/>
        </w:trPr>
        <w:tc>
          <w:tcPr>
            <w:tcW w:w="186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Darcy Mott, certify that:</w:t>
      </w:r>
    </w:p>
    <w:p>
      <w:pPr>
        <w:spacing w:after="0" w:line="167"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60"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420" w:right="20" w:hanging="412"/>
        <w:spacing w:after="0" w:line="260"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40" w:hanging="412"/>
        <w:spacing w:after="0" w:line="253"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060" w:right="40" w:hanging="404"/>
        <w:spacing w:after="0" w:line="253"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580" w:hanging="404"/>
        <w:spacing w:after="0" w:line="253"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580" w:hanging="404"/>
        <w:spacing w:after="0" w:line="260"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20" w:hanging="404"/>
        <w:spacing w:after="0" w:line="253"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420" w:hanging="412"/>
        <w:spacing w:after="0" w:line="260"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220" w:hanging="404"/>
        <w:spacing w:after="0" w:line="260"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160" w:hanging="404"/>
        <w:spacing w:after="0" w:line="260" w:lineRule="auto"/>
        <w:tabs>
          <w:tab w:leader="none" w:pos="10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March 28, 2018</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6700" w:type="dxa"/>
            <w:vAlign w:val="bottom"/>
          </w:tcPr>
          <w:p>
            <w:pPr>
              <w:ind w:left="140"/>
              <w:spacing w:after="0"/>
              <w:rPr>
                <w:sz w:val="20"/>
                <w:szCs w:val="20"/>
                <w:color w:val="auto"/>
              </w:rPr>
            </w:pPr>
            <w:r>
              <w:rPr>
                <w:rFonts w:ascii="Arial" w:cs="Arial" w:eastAsia="Arial" w:hAnsi="Arial"/>
                <w:sz w:val="16"/>
                <w:szCs w:val="16"/>
                <w:color w:val="auto"/>
              </w:rPr>
              <w:t>/s/ Darcy Mott</w:t>
            </w:r>
          </w:p>
        </w:tc>
        <w:tc>
          <w:tcPr>
            <w:tcW w:w="0" w:type="dxa"/>
            <w:vAlign w:val="bottom"/>
          </w:tcPr>
          <w:p>
            <w:pPr>
              <w:spacing w:after="0"/>
              <w:rPr>
                <w:sz w:val="1"/>
                <w:szCs w:val="1"/>
                <w:color w:val="auto"/>
              </w:rPr>
            </w:pPr>
          </w:p>
        </w:tc>
      </w:tr>
      <w:tr>
        <w:trPr>
          <w:trHeight w:val="47"/>
        </w:trPr>
        <w:tc>
          <w:tcPr>
            <w:tcW w:w="104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6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vMerge w:val="continue"/>
          </w:tcPr>
          <w:p>
            <w:pPr>
              <w:spacing w:after="0"/>
              <w:rPr>
                <w:sz w:val="18"/>
                <w:szCs w:val="18"/>
                <w:color w:val="auto"/>
              </w:rPr>
            </w:pPr>
          </w:p>
        </w:tc>
        <w:tc>
          <w:tcPr>
            <w:tcW w:w="6700" w:type="dxa"/>
            <w:vAlign w:val="bottom"/>
          </w:tcPr>
          <w:p>
            <w:pPr>
              <w:ind w:left="380"/>
              <w:spacing w:after="0"/>
              <w:rPr>
                <w:sz w:val="20"/>
                <w:szCs w:val="20"/>
                <w:color w:val="auto"/>
              </w:rPr>
            </w:pPr>
            <w:r>
              <w:rPr>
                <w:rFonts w:ascii="Arial" w:cs="Arial" w:eastAsia="Arial" w:hAnsi="Arial"/>
                <w:sz w:val="16"/>
                <w:szCs w:val="16"/>
                <w:color w:val="auto"/>
              </w:rPr>
              <w:t>Darcy Mott</w:t>
            </w:r>
          </w:p>
        </w:tc>
        <w:tc>
          <w:tcPr>
            <w:tcW w:w="0" w:type="dxa"/>
            <w:vAlign w:val="bottom"/>
          </w:tcPr>
          <w:p>
            <w:pPr>
              <w:spacing w:after="0"/>
              <w:rPr>
                <w:sz w:val="1"/>
                <w:szCs w:val="1"/>
                <w:color w:val="auto"/>
              </w:rPr>
            </w:pPr>
          </w:p>
        </w:tc>
      </w:tr>
      <w:tr>
        <w:trPr>
          <w:trHeight w:val="249"/>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Jon Kessler, the Chief Executive Officer (Principal Executive Officer) of HealthEquity, Inc. (the “Company”), hereby certify that, to my knowledge:</w:t>
      </w:r>
    </w:p>
    <w:p>
      <w:pPr>
        <w:spacing w:after="0" w:line="142" w:lineRule="exact"/>
        <w:rPr>
          <w:sz w:val="20"/>
          <w:szCs w:val="20"/>
          <w:color w:val="auto"/>
        </w:rPr>
      </w:pPr>
    </w:p>
    <w:p>
      <w:pPr>
        <w:ind w:left="660" w:right="8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2018 (the “Report”), of the Company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ind w:left="16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Darcy Mott, the Executive Vice President and Chief Financial Officer (Principal Financial Officer) of HealthEquity, Inc. (the “Company”), hereby certify that, to my knowledge:</w:t>
      </w:r>
    </w:p>
    <w:p>
      <w:pPr>
        <w:spacing w:after="0" w:line="142" w:lineRule="exact"/>
        <w:rPr>
          <w:sz w:val="20"/>
          <w:szCs w:val="20"/>
          <w:color w:val="auto"/>
        </w:rPr>
      </w:pPr>
    </w:p>
    <w:p>
      <w:pPr>
        <w:ind w:left="660" w:right="8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2018 (the “Report”), of the Company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ind w:left="140"/>
              <w:spacing w:after="0"/>
              <w:rPr>
                <w:sz w:val="20"/>
                <w:szCs w:val="20"/>
                <w:color w:val="auto"/>
              </w:rPr>
            </w:pPr>
            <w:r>
              <w:rPr>
                <w:rFonts w:ascii="Arial" w:cs="Arial" w:eastAsia="Arial" w:hAnsi="Arial"/>
                <w:sz w:val="18"/>
                <w:szCs w:val="18"/>
                <w:color w:val="auto"/>
              </w:rPr>
              <w:t>/s/ Darcy Mott</w:t>
            </w: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6160" w:type="dxa"/>
            <w:vAlign w:val="bottom"/>
          </w:tcPr>
          <w:p>
            <w:pPr>
              <w:ind w:left="380"/>
              <w:spacing w:after="0"/>
              <w:rPr>
                <w:sz w:val="20"/>
                <w:szCs w:val="20"/>
                <w:color w:val="auto"/>
              </w:rPr>
            </w:pPr>
            <w:r>
              <w:rPr>
                <w:rFonts w:ascii="Arial" w:cs="Arial" w:eastAsia="Arial" w:hAnsi="Arial"/>
                <w:sz w:val="18"/>
                <w:szCs w:val="18"/>
                <w:color w:val="auto"/>
              </w:rPr>
              <w:t>Darcy Mott</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235"/>
        </w:trPr>
        <w:tc>
          <w:tcPr>
            <w:tcW w:w="1040" w:type="dxa"/>
            <w:vAlign w:val="bottom"/>
          </w:tcPr>
          <w:p>
            <w:pPr>
              <w:spacing w:after="0"/>
              <w:rPr>
                <w:sz w:val="20"/>
                <w:szCs w:val="20"/>
                <w:color w:val="auto"/>
              </w:rPr>
            </w:pP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upperLetter"/>
      <w:start w:val="9"/>
    </w:lvl>
    <w:lvl w:ilvl="1">
      <w:lvlJc w:val="left"/>
      <w:lvlText w:val="(%2)"/>
      <w:numFmt w:val="lowerLetter"/>
      <w:start w:val="1"/>
    </w:lvl>
  </w:abstractNum>
  <w:abstractNum w:abstractNumId="29">
    <w:nsid w:val="419AC241"/>
    <w:multiLevelType w:val="hybridMultilevel"/>
    <w:lvl w:ilvl="0">
      <w:lvlJc w:val="left"/>
      <w:lvlText w:val="(%1)"/>
      <w:numFmt w:val="lowerLetter"/>
      <w:start w:val="4"/>
    </w:lvl>
  </w:abstractNum>
  <w:abstractNum w:abstractNumId="30">
    <w:nsid w:val="5577F8E1"/>
    <w:multiLevelType w:val="hybridMultilevel"/>
    <w:lvl w:ilvl="0">
      <w:lvlJc w:val="left"/>
      <w:lvlText w:val="(%1)"/>
      <w:numFmt w:val="lowerLetter"/>
      <w:start w:val="8"/>
    </w:lvl>
  </w:abstractNum>
  <w:abstractNum w:abstractNumId="31">
    <w:nsid w:val="440BADFC"/>
    <w:multiLevelType w:val="hybridMultilevel"/>
    <w:lvl w:ilvl="0">
      <w:lvlJc w:val="left"/>
      <w:lvlText w:val="%1."/>
      <w:numFmt w:val="upperLetter"/>
      <w:start w:val="3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4"/>
    </w:lvl>
    <w:lvl w:ilvl="1">
      <w:lvlJc w:val="left"/>
      <w:lvlText w:val="(%2)"/>
      <w:numFmt w:val="lowerRoman"/>
      <w:start w:val="1"/>
    </w:lvl>
  </w:abstractNum>
  <w:abstractNum w:abstractNumId="34">
    <w:nsid w:val="77465F01"/>
    <w:multiLevelType w:val="hybridMultilevel"/>
    <w:lvl w:ilvl="0">
      <w:lvlJc w:val="left"/>
      <w:lvlText w:val="(%1)"/>
      <w:numFmt w:val="lowerLetter"/>
      <w:start w:val="6"/>
    </w:lvl>
    <w:lvl w:ilvl="1">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58" Type="http://schemas.openxmlformats.org/officeDocument/2006/relationships/hyperlink" Target="http://www.sec.gov/Archives/edgar/data/1428336/000119312514270119/d696810dex32.htm" TargetMode="External"/><Relationship Id="rId59" Type="http://schemas.openxmlformats.org/officeDocument/2006/relationships/hyperlink" Target="http://www.sec.gov/Archives/edgar/data/1428336/000119312514270119/d696810dex34.htm" TargetMode="External"/><Relationship Id="rId60" Type="http://schemas.openxmlformats.org/officeDocument/2006/relationships/hyperlink" Target="http://www.sec.gov/Archives/edgar/data/1428336/000119312514270119/d696810dex41.htm" TargetMode="External"/><Relationship Id="rId61" Type="http://schemas.openxmlformats.org/officeDocument/2006/relationships/hyperlink" Target="http://www.sec.gov/Archives/edgar/data/1428336/000119312514232134/d696810dex42.htm" TargetMode="External"/><Relationship Id="rId62" Type="http://schemas.openxmlformats.org/officeDocument/2006/relationships/hyperlink" Target="http://www.sec.gov/Archives/edgar/data/1428336/000119312514270119/d696810dex101.htm" TargetMode="External"/><Relationship Id="rId63" Type="http://schemas.openxmlformats.org/officeDocument/2006/relationships/hyperlink" Target="http://www.sec.gov/Archives/edgar/data/1428336/000119312514232134/d696810dex102.htm" TargetMode="External"/><Relationship Id="rId64" Type="http://schemas.openxmlformats.org/officeDocument/2006/relationships/hyperlink" Target="http://www.sec.gov/Archives/edgar/data/1428336/000119312514270119/d696810dex103.htm" TargetMode="External"/><Relationship Id="rId65" Type="http://schemas.openxmlformats.org/officeDocument/2006/relationships/hyperlink" Target="http://www.sec.gov/Archives/edgar/data/1428336/000119312514232134/d696810dex104.htm" TargetMode="External"/><Relationship Id="rId66" Type="http://schemas.openxmlformats.org/officeDocument/2006/relationships/hyperlink" Target="http://www.sec.gov/Archives/edgar/data/1428336/000119312514232134/d696810dex105.htm" TargetMode="External"/><Relationship Id="rId67" Type="http://schemas.openxmlformats.org/officeDocument/2006/relationships/hyperlink" Target="http://www.sec.gov/Archives/edgar/data/1428336/000119312514232134/d696810dex106.htm" TargetMode="External"/><Relationship Id="rId68" Type="http://schemas.openxmlformats.org/officeDocument/2006/relationships/hyperlink" Target="http://www.sec.gov/Archives/edgar/data/1428336/000119312514232134/d696810dex107.htm" TargetMode="External"/><Relationship Id="rId69" Type="http://schemas.openxmlformats.org/officeDocument/2006/relationships/hyperlink" Target="http://www.sec.gov/Archives/edgar/data/1428336/000119312514232134/d696810dex108.htm" TargetMode="External"/><Relationship Id="rId70" Type="http://schemas.openxmlformats.org/officeDocument/2006/relationships/hyperlink" Target="http://www.sec.gov/Archives/edgar/data/1428336/000119312514232134/d696810dex1012.htm" TargetMode="External"/><Relationship Id="rId71" Type="http://schemas.openxmlformats.org/officeDocument/2006/relationships/hyperlink" Target="http://www.sec.gov/Archives/edgar/data/1428336/000119312514270119/d696810dex1013.htm" TargetMode="External"/><Relationship Id="rId72" Type="http://schemas.openxmlformats.org/officeDocument/2006/relationships/hyperlink" Target="http://www.sec.gov/Archives/edgar/data/1428336/000119312514232134/d696810dex1023.htm" TargetMode="External"/><Relationship Id="rId73" Type="http://schemas.openxmlformats.org/officeDocument/2006/relationships/hyperlink" Target="http://www.sec.gov/Archives/edgar/data/1428336/000119312514232134/d696810dex1024.htm" TargetMode="External"/><Relationship Id="rId74" Type="http://schemas.openxmlformats.org/officeDocument/2006/relationships/hyperlink" Target="http://www.sec.gov/Archives/edgar/data/1428336/000119312514232134/d696810dex1025.htm" TargetMode="External"/><Relationship Id="rId75" Type="http://schemas.openxmlformats.org/officeDocument/2006/relationships/hyperlink" Target="http://www.sec.gov/Archives/edgar/data/1428336/000119312514232134/d696810dex1026.htm" TargetMode="External"/><Relationship Id="rId76" Type="http://schemas.openxmlformats.org/officeDocument/2006/relationships/hyperlink" Target="http://www.sec.gov/Archives/edgar/data/1428336/000119312514270119/d696810dex1027.htm" TargetMode="External"/><Relationship Id="rId77" Type="http://schemas.openxmlformats.org/officeDocument/2006/relationships/hyperlink" Target="http://www.sec.gov/Archives/edgar/data/1428336/000142833615000015/exhibit101-bgscenicpointof.htm" TargetMode="External"/><Relationship Id="rId78" Type="http://schemas.openxmlformats.org/officeDocument/2006/relationships/hyperlink" Target="http://www.sec.gov/Archives/edgar/data/1428336/000142833615000015/exhibit102-bgscenicpointof.htm" TargetMode="External"/><Relationship Id="rId79" Type="http://schemas.openxmlformats.org/officeDocument/2006/relationships/hyperlink" Target="http://www.sec.gov/Archives/edgar/data/1428336/000142833615000024/a101-soldanjon.htm" TargetMode="External"/><Relationship Id="rId80" Type="http://schemas.openxmlformats.org/officeDocument/2006/relationships/hyperlink" Target="http://www.sec.gov/Archives/edgar/data/1428336/000142833615000026/a101-hqyxofferlettertorsel.htm" TargetMode="External"/><Relationship Id="rId83" Type="http://schemas.openxmlformats.org/officeDocument/2006/relationships/hyperlink" Target="http://www.sec.gov/Archives/edgar/data/1428336/000142833615000028/healthequity_creditagreeme.htm" TargetMode="External"/><Relationship Id="rId84" Type="http://schemas.openxmlformats.org/officeDocument/2006/relationships/hyperlink" Target="http://www.sec.gov/Archives/edgar/data/1428336/000142833615000030/exhibit101-assetpurchaseag.htm" TargetMode="External"/><Relationship Id="rId85" Type="http://schemas.openxmlformats.org/officeDocument/2006/relationships/hyperlink" Target="http://www.sec.gov/Archives/edgar/data/1428336/000142833616000065/a2ndamendmenttoleasehealth.htm" TargetMode="External"/><Relationship Id="rId86" Type="http://schemas.openxmlformats.org/officeDocument/2006/relationships/hyperlink" Target="http://www.sec.gov/Archives/edgar/data/1428336/000142833617000014/exhibit102-secondamendment.htm" TargetMode="External"/><Relationship Id="rId87" Type="http://schemas.openxmlformats.org/officeDocument/2006/relationships/hyperlink" Target="http://www.sec.gov/Archives/edgar/data/1428336/000142833617000014/exhibit211listofsub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2019-12-28T23:46:04Z</dcterms:created>
  <dcterms:modified xsi:type="dcterms:W3CDTF">2019-12-28T23:46:04Z</dcterms:modified>
</cp:coreProperties>
</file>