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10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8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31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CURRENT REPORT</w:t>
      </w:r>
    </w:p>
    <w:p>
      <w:pPr>
        <w:jc w:val="center"/>
        <w:ind w:right="-19"/>
        <w:spacing w:after="0"/>
        <w:rPr>
          <w:sz w:val="20"/>
          <w:szCs w:val="20"/>
          <w:color w:val="auto"/>
        </w:rPr>
      </w:pPr>
      <w:r>
        <w:rPr>
          <w:rFonts w:ascii="Arial" w:cs="Arial" w:eastAsia="Arial" w:hAnsi="Arial"/>
          <w:sz w:val="16"/>
          <w:szCs w:val="16"/>
          <w:b w:val="1"/>
          <w:bCs w:val="1"/>
          <w:color w:val="auto"/>
        </w:rPr>
        <w:t>Pursuant to Section 13 or 15(d) of</w:t>
      </w:r>
    </w:p>
    <w:p>
      <w:pPr>
        <w:jc w:val="center"/>
        <w:ind w:right="-19"/>
        <w:spacing w:after="0"/>
        <w:rPr>
          <w:sz w:val="20"/>
          <w:szCs w:val="20"/>
          <w:color w:val="auto"/>
        </w:rPr>
      </w:pPr>
      <w:r>
        <w:rPr>
          <w:rFonts w:ascii="Arial" w:cs="Arial" w:eastAsia="Arial" w:hAnsi="Arial"/>
          <w:sz w:val="16"/>
          <w:szCs w:val="16"/>
          <w:b w:val="1"/>
          <w:bCs w:val="1"/>
          <w:color w:val="auto"/>
        </w:rPr>
        <w:t>The Securities Exchange Act of 1934</w:t>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Date of Report (Date of earliest event reported)</w:t>
      </w:r>
    </w:p>
    <w:p>
      <w:pPr>
        <w:spacing w:after="0" w:line="27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April 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2173605</wp:posOffset>
            </wp:positionH>
            <wp:positionV relativeFrom="paragraph">
              <wp:posOffset>46355</wp:posOffset>
            </wp:positionV>
            <wp:extent cx="27857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u w:val="single" w:color="auto"/>
          <w:color w:val="auto"/>
        </w:rPr>
        <w:t>HEALTHEQUITY, INC.</w:t>
      </w:r>
    </w:p>
    <w:p>
      <w:pPr>
        <w:spacing w:after="0" w:line="200" w:lineRule="exact"/>
        <w:rPr>
          <w:sz w:val="24"/>
          <w:szCs w:val="24"/>
          <w:color w:val="auto"/>
        </w:rPr>
      </w:pPr>
    </w:p>
    <w:p>
      <w:pPr>
        <w:spacing w:after="0" w:line="262" w:lineRule="exact"/>
        <w:rPr>
          <w:sz w:val="24"/>
          <w:szCs w:val="24"/>
          <w:color w:val="auto"/>
        </w:rPr>
      </w:pPr>
    </w:p>
    <w:tbl>
      <w:tblPr>
        <w:tblLayout w:type="fixed"/>
        <w:tblInd w:w="820" w:type="dxa"/>
        <w:tblCellMar>
          <w:top w:w="0" w:type="dxa"/>
          <w:left w:w="0" w:type="dxa"/>
          <w:bottom w:w="0" w:type="dxa"/>
          <w:right w:w="0" w:type="dxa"/>
        </w:tblCellMar>
      </w:tblPr>
      <w:tr>
        <w:trPr>
          <w:trHeight w:val="239"/>
        </w:trPr>
        <w:tc>
          <w:tcPr>
            <w:tcW w:w="2940" w:type="dxa"/>
            <w:vAlign w:val="bottom"/>
          </w:tcPr>
          <w:p>
            <w:pPr>
              <w:jc w:val="center"/>
              <w:ind w:right="802"/>
              <w:spacing w:after="0"/>
              <w:rPr>
                <w:sz w:val="20"/>
                <w:szCs w:val="20"/>
                <w:color w:val="auto"/>
              </w:rPr>
            </w:pPr>
            <w:r>
              <w:rPr>
                <w:rFonts w:ascii="Arial" w:cs="Arial" w:eastAsia="Arial" w:hAnsi="Arial"/>
                <w:sz w:val="18"/>
                <w:szCs w:val="18"/>
                <w:b w:val="1"/>
                <w:bCs w:val="1"/>
                <w:color w:val="auto"/>
                <w:w w:val="98"/>
              </w:rPr>
              <w:t>Delaware</w:t>
            </w:r>
          </w:p>
        </w:tc>
        <w:tc>
          <w:tcPr>
            <w:tcW w:w="3840" w:type="dxa"/>
            <w:vAlign w:val="bottom"/>
          </w:tcPr>
          <w:p>
            <w:pPr>
              <w:jc w:val="center"/>
              <w:ind w:right="65"/>
              <w:spacing w:after="0"/>
              <w:rPr>
                <w:sz w:val="20"/>
                <w:szCs w:val="20"/>
                <w:color w:val="auto"/>
              </w:rPr>
            </w:pPr>
            <w:r>
              <w:rPr>
                <w:rFonts w:ascii="Arial" w:cs="Arial" w:eastAsia="Arial" w:hAnsi="Arial"/>
                <w:sz w:val="18"/>
                <w:szCs w:val="18"/>
                <w:b w:val="1"/>
                <w:bCs w:val="1"/>
                <w:color w:val="auto"/>
                <w:w w:val="99"/>
              </w:rPr>
              <w:t>001-36568</w:t>
            </w:r>
          </w:p>
        </w:tc>
        <w:tc>
          <w:tcPr>
            <w:tcW w:w="2540" w:type="dxa"/>
            <w:vAlign w:val="bottom"/>
          </w:tcPr>
          <w:p>
            <w:pPr>
              <w:jc w:val="center"/>
              <w:ind w:left="942"/>
              <w:spacing w:after="0"/>
              <w:rPr>
                <w:sz w:val="20"/>
                <w:szCs w:val="20"/>
                <w:color w:val="auto"/>
              </w:rPr>
            </w:pPr>
            <w:r>
              <w:rPr>
                <w:rFonts w:ascii="Arial" w:cs="Arial" w:eastAsia="Arial" w:hAnsi="Arial"/>
                <w:sz w:val="18"/>
                <w:szCs w:val="18"/>
                <w:b w:val="1"/>
                <w:bCs w:val="1"/>
                <w:color w:val="auto"/>
                <w:w w:val="99"/>
              </w:rPr>
              <w:t>52-2383166</w:t>
            </w:r>
          </w:p>
        </w:tc>
        <w:tc>
          <w:tcPr>
            <w:tcW w:w="0" w:type="dxa"/>
            <w:vAlign w:val="bottom"/>
          </w:tcPr>
          <w:p>
            <w:pPr>
              <w:spacing w:after="0"/>
              <w:rPr>
                <w:sz w:val="1"/>
                <w:szCs w:val="1"/>
                <w:color w:val="auto"/>
              </w:rPr>
            </w:pPr>
          </w:p>
        </w:tc>
      </w:tr>
      <w:tr>
        <w:trPr>
          <w:trHeight w:val="144"/>
        </w:trPr>
        <w:tc>
          <w:tcPr>
            <w:tcW w:w="2940" w:type="dxa"/>
            <w:vAlign w:val="bottom"/>
          </w:tcPr>
          <w:p>
            <w:pPr>
              <w:jc w:val="center"/>
              <w:ind w:right="802"/>
              <w:spacing w:after="0" w:line="145" w:lineRule="exact"/>
              <w:rPr>
                <w:sz w:val="20"/>
                <w:szCs w:val="20"/>
                <w:color w:val="auto"/>
              </w:rPr>
            </w:pPr>
            <w:r>
              <w:rPr>
                <w:rFonts w:ascii="Arial" w:cs="Arial" w:eastAsia="Arial" w:hAnsi="Arial"/>
                <w:sz w:val="14"/>
                <w:szCs w:val="14"/>
                <w:b w:val="1"/>
                <w:bCs w:val="1"/>
                <w:color w:val="auto"/>
              </w:rPr>
              <w:t>(State or other jurisdiction of</w:t>
            </w:r>
          </w:p>
        </w:tc>
        <w:tc>
          <w:tcPr>
            <w:tcW w:w="3840" w:type="dxa"/>
            <w:vAlign w:val="bottom"/>
            <w:vMerge w:val="restart"/>
          </w:tcPr>
          <w:p>
            <w:pPr>
              <w:jc w:val="center"/>
              <w:ind w:right="65"/>
              <w:spacing w:after="0"/>
              <w:rPr>
                <w:sz w:val="20"/>
                <w:szCs w:val="20"/>
                <w:color w:val="auto"/>
              </w:rPr>
            </w:pPr>
            <w:r>
              <w:rPr>
                <w:rFonts w:ascii="Arial" w:cs="Arial" w:eastAsia="Arial" w:hAnsi="Arial"/>
                <w:sz w:val="14"/>
                <w:szCs w:val="14"/>
                <w:b w:val="1"/>
                <w:bCs w:val="1"/>
                <w:color w:val="auto"/>
              </w:rPr>
              <w:t>(Commission File Number)</w:t>
            </w:r>
          </w:p>
        </w:tc>
        <w:tc>
          <w:tcPr>
            <w:tcW w:w="2540" w:type="dxa"/>
            <w:vAlign w:val="bottom"/>
          </w:tcPr>
          <w:p>
            <w:pPr>
              <w:jc w:val="center"/>
              <w:ind w:left="962"/>
              <w:spacing w:after="0" w:line="145" w:lineRule="exact"/>
              <w:rPr>
                <w:sz w:val="20"/>
                <w:szCs w:val="20"/>
                <w:color w:val="auto"/>
              </w:rPr>
            </w:pPr>
            <w:r>
              <w:rPr>
                <w:rFonts w:ascii="Arial" w:cs="Arial" w:eastAsia="Arial" w:hAnsi="Arial"/>
                <w:sz w:val="14"/>
                <w:szCs w:val="14"/>
                <w:b w:val="1"/>
                <w:bCs w:val="1"/>
                <w:color w:val="auto"/>
              </w:rPr>
              <w:t>(I.R.S. Employer</w:t>
            </w:r>
          </w:p>
        </w:tc>
        <w:tc>
          <w:tcPr>
            <w:tcW w:w="0" w:type="dxa"/>
            <w:vAlign w:val="bottom"/>
          </w:tcPr>
          <w:p>
            <w:pPr>
              <w:spacing w:after="0"/>
              <w:rPr>
                <w:sz w:val="1"/>
                <w:szCs w:val="1"/>
                <w:color w:val="auto"/>
              </w:rPr>
            </w:pPr>
          </w:p>
        </w:tc>
      </w:tr>
      <w:tr>
        <w:trPr>
          <w:trHeight w:val="196"/>
        </w:trPr>
        <w:tc>
          <w:tcPr>
            <w:tcW w:w="2940" w:type="dxa"/>
            <w:vAlign w:val="bottom"/>
          </w:tcPr>
          <w:p>
            <w:pPr>
              <w:jc w:val="center"/>
              <w:ind w:right="802"/>
              <w:spacing w:after="0"/>
              <w:rPr>
                <w:sz w:val="20"/>
                <w:szCs w:val="20"/>
                <w:color w:val="auto"/>
              </w:rPr>
            </w:pPr>
            <w:r>
              <w:rPr>
                <w:rFonts w:ascii="Arial" w:cs="Arial" w:eastAsia="Arial" w:hAnsi="Arial"/>
                <w:sz w:val="14"/>
                <w:szCs w:val="14"/>
                <w:b w:val="1"/>
                <w:bCs w:val="1"/>
                <w:color w:val="auto"/>
              </w:rPr>
              <w:t>incorporation or organization)</w:t>
            </w:r>
          </w:p>
        </w:tc>
        <w:tc>
          <w:tcPr>
            <w:tcW w:w="3840" w:type="dxa"/>
            <w:vAlign w:val="bottom"/>
            <w:vMerge w:val="continue"/>
          </w:tcPr>
          <w:p>
            <w:pPr>
              <w:spacing w:after="0"/>
              <w:rPr>
                <w:sz w:val="17"/>
                <w:szCs w:val="17"/>
                <w:color w:val="auto"/>
              </w:rPr>
            </w:pPr>
          </w:p>
        </w:tc>
        <w:tc>
          <w:tcPr>
            <w:tcW w:w="2540" w:type="dxa"/>
            <w:vAlign w:val="bottom"/>
          </w:tcPr>
          <w:p>
            <w:pPr>
              <w:jc w:val="center"/>
              <w:ind w:left="942"/>
              <w:spacing w:after="0"/>
              <w:rPr>
                <w:sz w:val="20"/>
                <w:szCs w:val="20"/>
                <w:color w:val="auto"/>
              </w:rPr>
            </w:pPr>
            <w:r>
              <w:rPr>
                <w:rFonts w:ascii="Arial" w:cs="Arial" w:eastAsia="Arial" w:hAnsi="Arial"/>
                <w:sz w:val="14"/>
                <w:szCs w:val="14"/>
                <w:b w:val="1"/>
                <w:bCs w:val="1"/>
                <w:color w:val="auto"/>
              </w:rPr>
              <w:t>Identification Number)</w:t>
            </w:r>
          </w:p>
        </w:tc>
        <w:tc>
          <w:tcPr>
            <w:tcW w:w="0" w:type="dxa"/>
            <w:vAlign w:val="bottom"/>
          </w:tcPr>
          <w:p>
            <w:pPr>
              <w:spacing w:after="0"/>
              <w:rPr>
                <w:sz w:val="1"/>
                <w:szCs w:val="1"/>
                <w:color w:val="auto"/>
              </w:rPr>
            </w:pPr>
          </w:p>
        </w:tc>
      </w:tr>
      <w:tr>
        <w:trPr>
          <w:trHeight w:val="605"/>
        </w:trPr>
        <w:tc>
          <w:tcPr>
            <w:tcW w:w="2940" w:type="dxa"/>
            <w:vAlign w:val="bottom"/>
          </w:tcPr>
          <w:p>
            <w:pPr>
              <w:spacing w:after="0"/>
              <w:rPr>
                <w:sz w:val="24"/>
                <w:szCs w:val="24"/>
                <w:color w:val="auto"/>
              </w:rPr>
            </w:pPr>
          </w:p>
        </w:tc>
        <w:tc>
          <w:tcPr>
            <w:tcW w:w="3840" w:type="dxa"/>
            <w:vAlign w:val="bottom"/>
          </w:tcPr>
          <w:p>
            <w:pPr>
              <w:jc w:val="center"/>
              <w:ind w:right="45"/>
              <w:spacing w:after="0"/>
              <w:rPr>
                <w:sz w:val="20"/>
                <w:szCs w:val="20"/>
                <w:color w:val="auto"/>
              </w:rPr>
            </w:pPr>
            <w:r>
              <w:rPr>
                <w:rFonts w:ascii="Arial" w:cs="Arial" w:eastAsia="Arial" w:hAnsi="Arial"/>
                <w:sz w:val="14"/>
                <w:szCs w:val="14"/>
                <w:b w:val="1"/>
                <w:bCs w:val="1"/>
                <w:color w:val="auto"/>
              </w:rPr>
              <w:t>15 West Scenic Pointe Drive</w:t>
            </w:r>
          </w:p>
        </w:tc>
        <w:tc>
          <w:tcPr>
            <w:tcW w:w="2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940" w:type="dxa"/>
            <w:vAlign w:val="bottom"/>
          </w:tcPr>
          <w:p>
            <w:pPr>
              <w:spacing w:after="0"/>
              <w:rPr>
                <w:sz w:val="17"/>
                <w:szCs w:val="17"/>
                <w:color w:val="auto"/>
              </w:rPr>
            </w:pPr>
          </w:p>
        </w:tc>
        <w:tc>
          <w:tcPr>
            <w:tcW w:w="3840" w:type="dxa"/>
            <w:vAlign w:val="bottom"/>
          </w:tcPr>
          <w:p>
            <w:pPr>
              <w:jc w:val="center"/>
              <w:ind w:right="45"/>
              <w:spacing w:after="0"/>
              <w:rPr>
                <w:sz w:val="20"/>
                <w:szCs w:val="20"/>
                <w:color w:val="auto"/>
              </w:rPr>
            </w:pPr>
            <w:r>
              <w:rPr>
                <w:rFonts w:ascii="Arial" w:cs="Arial" w:eastAsia="Arial" w:hAnsi="Arial"/>
                <w:sz w:val="14"/>
                <w:szCs w:val="14"/>
                <w:b w:val="1"/>
                <w:bCs w:val="1"/>
                <w:color w:val="auto"/>
              </w:rPr>
              <w:t>Suite 100</w:t>
            </w:r>
          </w:p>
        </w:tc>
        <w:tc>
          <w:tcPr>
            <w:tcW w:w="2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40" w:type="dxa"/>
            <w:vAlign w:val="bottom"/>
          </w:tcPr>
          <w:p>
            <w:pPr>
              <w:spacing w:after="0"/>
              <w:rPr>
                <w:sz w:val="17"/>
                <w:szCs w:val="17"/>
                <w:color w:val="auto"/>
              </w:rPr>
            </w:pPr>
          </w:p>
        </w:tc>
        <w:tc>
          <w:tcPr>
            <w:tcW w:w="3840" w:type="dxa"/>
            <w:vAlign w:val="bottom"/>
          </w:tcPr>
          <w:p>
            <w:pPr>
              <w:jc w:val="center"/>
              <w:ind w:right="25"/>
              <w:spacing w:after="0"/>
              <w:rPr>
                <w:sz w:val="20"/>
                <w:szCs w:val="20"/>
                <w:color w:val="auto"/>
              </w:rPr>
            </w:pPr>
            <w:r>
              <w:rPr>
                <w:rFonts w:ascii="Arial" w:cs="Arial" w:eastAsia="Arial" w:hAnsi="Arial"/>
                <w:sz w:val="14"/>
                <w:szCs w:val="14"/>
                <w:b w:val="1"/>
                <w:bCs w:val="1"/>
                <w:color w:val="auto"/>
              </w:rPr>
              <w:t>Draper, Utah 84020</w:t>
            </w:r>
          </w:p>
        </w:tc>
        <w:tc>
          <w:tcPr>
            <w:tcW w:w="2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3840" w:type="dxa"/>
            <w:vAlign w:val="bottom"/>
          </w:tcPr>
          <w:p>
            <w:pPr>
              <w:jc w:val="center"/>
              <w:ind w:right="25"/>
              <w:spacing w:after="0"/>
              <w:rPr>
                <w:sz w:val="20"/>
                <w:szCs w:val="20"/>
                <w:color w:val="auto"/>
              </w:rPr>
            </w:pPr>
            <w:r>
              <w:rPr>
                <w:rFonts w:ascii="Arial" w:cs="Arial" w:eastAsia="Arial" w:hAnsi="Arial"/>
                <w:sz w:val="14"/>
                <w:szCs w:val="14"/>
                <w:b w:val="1"/>
                <w:bCs w:val="1"/>
                <w:color w:val="auto"/>
              </w:rPr>
              <w:t>(801) 727-1000</w:t>
            </w:r>
          </w:p>
        </w:tc>
        <w:tc>
          <w:tcPr>
            <w:tcW w:w="25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4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8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Not Applicable</w:t>
      </w:r>
    </w:p>
    <w:p>
      <w:pPr>
        <w:spacing w:after="0" w:line="5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229235</wp:posOffset>
            </wp:positionV>
            <wp:extent cx="27774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 (see</w:t>
      </w:r>
    </w:p>
    <w:p>
      <w:pPr>
        <w:spacing w:after="0" w:line="42" w:lineRule="exact"/>
        <w:rPr>
          <w:sz w:val="24"/>
          <w:szCs w:val="24"/>
          <w:color w:val="auto"/>
        </w:rPr>
      </w:pPr>
    </w:p>
    <w:p>
      <w:pPr>
        <w:spacing w:after="0"/>
        <w:rPr>
          <w:sz w:val="20"/>
          <w:szCs w:val="20"/>
          <w:color w:val="auto"/>
        </w:rPr>
      </w:pPr>
      <w:r>
        <w:rPr>
          <w:rFonts w:ascii="Arial" w:cs="Arial" w:eastAsia="Arial" w:hAnsi="Arial"/>
          <w:sz w:val="14"/>
          <w:szCs w:val="14"/>
          <w:color w:val="auto"/>
        </w:rPr>
        <w:t>General Instruction A.2):</w:t>
      </w:r>
    </w:p>
    <w:p>
      <w:pPr>
        <w:spacing w:after="0" w:line="123" w:lineRule="exact"/>
        <w:rPr>
          <w:sz w:val="24"/>
          <w:szCs w:val="24"/>
          <w:color w:val="auto"/>
        </w:rPr>
      </w:pPr>
    </w:p>
    <w:p>
      <w:pPr>
        <w:ind w:left="280" w:hanging="272"/>
        <w:spacing w:after="0"/>
        <w:tabs>
          <w:tab w:leader="none" w:pos="2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136" w:lineRule="exact"/>
        <w:rPr>
          <w:rFonts w:ascii="MS PGothic" w:cs="MS PGothic" w:eastAsia="MS PGothic" w:hAnsi="MS PGothic"/>
          <w:sz w:val="14"/>
          <w:szCs w:val="14"/>
          <w:color w:val="auto"/>
        </w:rPr>
      </w:pPr>
    </w:p>
    <w:p>
      <w:pPr>
        <w:ind w:left="280" w:hanging="272"/>
        <w:spacing w:after="0"/>
        <w:tabs>
          <w:tab w:leader="none" w:pos="2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122" w:lineRule="exact"/>
        <w:rPr>
          <w:rFonts w:ascii="MS PGothic" w:cs="MS PGothic" w:eastAsia="MS PGothic" w:hAnsi="MS PGothic"/>
          <w:sz w:val="14"/>
          <w:szCs w:val="14"/>
          <w:color w:val="auto"/>
        </w:rPr>
      </w:pPr>
    </w:p>
    <w:p>
      <w:pPr>
        <w:ind w:left="280" w:hanging="272"/>
        <w:spacing w:after="0"/>
        <w:tabs>
          <w:tab w:leader="none" w:pos="2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122" w:lineRule="exact"/>
        <w:rPr>
          <w:rFonts w:ascii="MS PGothic" w:cs="MS PGothic" w:eastAsia="MS PGothic" w:hAnsi="MS PGothic"/>
          <w:sz w:val="14"/>
          <w:szCs w:val="14"/>
          <w:color w:val="auto"/>
        </w:rPr>
      </w:pPr>
    </w:p>
    <w:p>
      <w:pPr>
        <w:ind w:left="280" w:hanging="272"/>
        <w:spacing w:after="0"/>
        <w:tabs>
          <w:tab w:leader="none" w:pos="2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4320" w:type="dxa"/>
            <w:vAlign w:val="bottom"/>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2600" w:type="dxa"/>
            <w:vAlign w:val="bottom"/>
          </w:tcPr>
          <w:p>
            <w:pPr>
              <w:spacing w:after="0"/>
              <w:rPr>
                <w:sz w:val="16"/>
                <w:szCs w:val="16"/>
                <w:color w:val="auto"/>
              </w:rPr>
            </w:pPr>
          </w:p>
        </w:tc>
        <w:tc>
          <w:tcPr>
            <w:tcW w:w="4280" w:type="dxa"/>
            <w:vAlign w:val="bottom"/>
          </w:tcPr>
          <w:p>
            <w:pPr>
              <w:spacing w:after="0"/>
              <w:rPr>
                <w:sz w:val="16"/>
                <w:szCs w:val="16"/>
                <w:color w:val="auto"/>
              </w:rPr>
            </w:pPr>
          </w:p>
        </w:tc>
      </w:tr>
      <w:tr>
        <w:trPr>
          <w:trHeight w:val="210"/>
        </w:trPr>
        <w:tc>
          <w:tcPr>
            <w:tcW w:w="43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Title of each class</w:t>
            </w:r>
          </w:p>
        </w:tc>
        <w:tc>
          <w:tcPr>
            <w:tcW w:w="2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428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89"/>
        </w:trPr>
        <w:tc>
          <w:tcPr>
            <w:tcW w:w="4320" w:type="dxa"/>
            <w:vAlign w:val="bottom"/>
          </w:tcPr>
          <w:p>
            <w:pPr>
              <w:jc w:val="center"/>
              <w:ind w:right="88"/>
              <w:spacing w:after="0"/>
              <w:rPr>
                <w:sz w:val="20"/>
                <w:szCs w:val="20"/>
                <w:color w:val="auto"/>
              </w:rPr>
            </w:pPr>
            <w:r>
              <w:rPr>
                <w:rFonts w:ascii="Arial" w:cs="Arial" w:eastAsia="Arial" w:hAnsi="Arial"/>
                <w:sz w:val="14"/>
                <w:szCs w:val="14"/>
                <w:color w:val="auto"/>
              </w:rPr>
              <w:t>Common stock, par value $0.0001 per share</w:t>
            </w:r>
          </w:p>
        </w:tc>
        <w:tc>
          <w:tcPr>
            <w:tcW w:w="2600" w:type="dxa"/>
            <w:vAlign w:val="bottom"/>
          </w:tcPr>
          <w:p>
            <w:pPr>
              <w:jc w:val="center"/>
              <w:spacing w:after="0"/>
              <w:rPr>
                <w:sz w:val="20"/>
                <w:szCs w:val="20"/>
                <w:color w:val="auto"/>
              </w:rPr>
            </w:pPr>
            <w:r>
              <w:rPr>
                <w:rFonts w:ascii="Arial" w:cs="Arial" w:eastAsia="Arial" w:hAnsi="Arial"/>
                <w:sz w:val="14"/>
                <w:szCs w:val="14"/>
                <w:color w:val="auto"/>
              </w:rPr>
              <w:t>HQY</w:t>
            </w:r>
          </w:p>
        </w:tc>
        <w:tc>
          <w:tcPr>
            <w:tcW w:w="4280" w:type="dxa"/>
            <w:vAlign w:val="bottom"/>
          </w:tcPr>
          <w:p>
            <w:pPr>
              <w:jc w:val="center"/>
              <w:ind w:left="48"/>
              <w:spacing w:after="0"/>
              <w:rPr>
                <w:sz w:val="20"/>
                <w:szCs w:val="20"/>
                <w:color w:val="auto"/>
              </w:rPr>
            </w:pPr>
            <w:r>
              <w:rPr>
                <w:rFonts w:ascii="Arial" w:cs="Arial" w:eastAsia="Arial" w:hAnsi="Arial"/>
                <w:sz w:val="14"/>
                <w:szCs w:val="14"/>
                <w:color w:val="auto"/>
              </w:rPr>
              <w:t>The NASDAQ Global Select Market</w:t>
            </w:r>
          </w:p>
        </w:tc>
      </w:tr>
    </w:tbl>
    <w:p>
      <w:pPr>
        <w:spacing w:after="0" w:line="201" w:lineRule="exact"/>
        <w:rPr>
          <w:sz w:val="24"/>
          <w:szCs w:val="24"/>
          <w:color w:val="auto"/>
        </w:rPr>
      </w:pPr>
    </w:p>
    <w:p>
      <w:pPr>
        <w:ind w:right="360"/>
        <w:spacing w:after="0" w:line="338"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(17 CFR §230.405) or Rule 12b-2 of the Securities Exchange Act of 1934 (17 CFR §240.12b-2).</w:t>
      </w:r>
    </w:p>
    <w:p>
      <w:pPr>
        <w:spacing w:after="0" w:line="1" w:lineRule="exact"/>
        <w:rPr>
          <w:sz w:val="24"/>
          <w:szCs w:val="24"/>
          <w:color w:val="auto"/>
        </w:rPr>
      </w:pPr>
    </w:p>
    <w:p>
      <w:pPr>
        <w:ind w:left="936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154" w:lineRule="exact"/>
        <w:rPr>
          <w:sz w:val="24"/>
          <w:szCs w:val="24"/>
          <w:color w:val="auto"/>
        </w:rPr>
      </w:pPr>
    </w:p>
    <w:p>
      <w:pPr>
        <w:ind w:right="300"/>
        <w:spacing w:after="0" w:line="20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640080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7" w:right="339" w:bottom="1440" w:gutter="0" w:footer="0" w:header="0"/>
        </w:sectPr>
      </w:pPr>
    </w:p>
    <w:bookmarkStart w:id="1" w:name="page2"/>
    <w:bookmarkEnd w:id="1"/>
    <w:p>
      <w:pPr>
        <w:ind w:right="420"/>
        <w:spacing w:after="0" w:line="296" w:lineRule="auto"/>
        <w:rPr>
          <w:sz w:val="20"/>
          <w:szCs w:val="20"/>
          <w:color w:val="auto"/>
        </w:rPr>
      </w:pPr>
      <w:r>
        <w:rPr>
          <w:rFonts w:ascii="Arial" w:cs="Arial" w:eastAsia="Arial" w:hAnsi="Arial"/>
          <w:sz w:val="18"/>
          <w:szCs w:val="18"/>
          <w:b w:val="1"/>
          <w:bCs w:val="1"/>
          <w:color w:val="auto"/>
        </w:rPr>
        <w:t>Item 5.02(b) Departure of Directors or Certain Officers; Election of Directors; Appointment of Certain Officers; Compensatory Arrangements of Certain Officers.</w:t>
      </w:r>
    </w:p>
    <w:p>
      <w:pPr>
        <w:spacing w:after="0" w:line="2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April 6, 2026, HealthEquity, Inc. (the “Company”) announced that the employment of Eli Rosner, the Company’s Chief Technology Officer, will be terminated by the Company without cause, effective April 17, 2026. Sunil Rajasekar, the Company’s Executive Vice President, Chief Product and Strategy Officer, will be responsible for overseeing the Company’s technology organization as of that date.</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consideration of Mr. Rosner’s execution, delivery, and non-revocation of the release of claims against the Company and its subsidiaries and affiliates substantially in the form attached to his employment agreement, and his continuing compliance with certain restrictive covenants contained therein, Mr. Rosner will receive the previously negotiated severance payments and benefits set forth in the his employment agreement, as detailed in the Company’s most recent proxy statement filed with the Securities and Exchange Commission on May 13, 2025, and his outstanding equity awards will be treated in a manner consistent with the terms of the 2014 Stock Incentive Plan, the 2024 Stock Incentive Plan, and his applicable award agreements.</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Sunil Rajasekar has served as the Company’s Executive Vice President, Chief Product and Strategy Officer since January 2026. Prior to joining HealthEquity, Mr. Rajasekar was the Chief Executive Officer and a director at BTRS Holdings, Inc., d/b/a Billtrust, from November 2022 through August 2025. Prior to serving as Billtrust’s Chief Executive Officer, Mr. Rajasekar served as the President of MINDBODY, Inc. from September 2018 through August 2022. He was a General Manager at eBay Inc. from May 2016 through July 2018, the Chief Technology and Product Officer at Lithium Technologies, Inc. (currently d/b/a Khoros, LLC) and a Vice President at Intuit Inc. from February 2004 to May 2012. Prior to joining Intuit, Mr. Rajasekar held various senior roles at Cisco Corporation and Oracle Corporation. Mr. Rajasekar holds a Bachelor of Commerce from Loyola University and an M.B.A. from the University of Toledo.</w:t>
      </w:r>
    </w:p>
    <w:p>
      <w:pPr>
        <w:spacing w:after="0" w:line="7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50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972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r>
      <w:tr>
        <w:trPr>
          <w:trHeight w:val="268"/>
        </w:trPr>
        <w:tc>
          <w:tcPr>
            <w:tcW w:w="20" w:type="dxa"/>
            <w:vAlign w:val="bottom"/>
          </w:tcPr>
          <w:p>
            <w:pPr>
              <w:spacing w:after="0"/>
              <w:rPr>
                <w:sz w:val="23"/>
                <w:szCs w:val="23"/>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104</w:t>
            </w:r>
          </w:p>
        </w:tc>
        <w:tc>
          <w:tcPr>
            <w:tcW w:w="560" w:type="dxa"/>
            <w:vAlign w:val="bottom"/>
          </w:tcPr>
          <w:p>
            <w:pPr>
              <w:spacing w:after="0"/>
              <w:rPr>
                <w:sz w:val="23"/>
                <w:szCs w:val="23"/>
                <w:color w:val="auto"/>
              </w:rPr>
            </w:pPr>
          </w:p>
        </w:tc>
        <w:tc>
          <w:tcPr>
            <w:tcW w:w="9720" w:type="dxa"/>
            <w:vAlign w:val="bottom"/>
            <w:gridSpan w:val="2"/>
          </w:tcPr>
          <w:p>
            <w:pPr>
              <w:spacing w:after="0"/>
              <w:rPr>
                <w:sz w:val="20"/>
                <w:szCs w:val="20"/>
                <w:color w:val="auto"/>
              </w:rPr>
            </w:pPr>
            <w:r>
              <w:rPr>
                <w:rFonts w:ascii="Arial" w:cs="Arial" w:eastAsia="Arial" w:hAnsi="Arial"/>
                <w:sz w:val="18"/>
                <w:szCs w:val="18"/>
                <w:color w:val="auto"/>
              </w:rPr>
              <w:t>Cover Page Interactive Data File (formatted in Inline XBRL)</w:t>
            </w:r>
          </w:p>
        </w:tc>
      </w:tr>
      <w:tr>
        <w:trPr>
          <w:trHeight w:val="989"/>
        </w:trPr>
        <w:tc>
          <w:tcPr>
            <w:tcW w:w="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8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22"/>
          <w:szCs w:val="22"/>
          <w:b w:val="1"/>
          <w:bCs w:val="1"/>
          <w:color w:val="auto"/>
        </w:rPr>
        <w:t>SIGNATURES</w:t>
      </w:r>
    </w:p>
    <w:p>
      <w:pPr>
        <w:spacing w:after="0" w:line="200" w:lineRule="exact"/>
        <w:rPr>
          <w:sz w:val="20"/>
          <w:szCs w:val="20"/>
          <w:color w:val="auto"/>
        </w:rPr>
      </w:pPr>
    </w:p>
    <w:p>
      <w:pPr>
        <w:spacing w:after="0" w:line="23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58" w:lineRule="exact"/>
        <w:rPr>
          <w:sz w:val="20"/>
          <w:szCs w:val="20"/>
          <w:color w:val="auto"/>
        </w:rPr>
      </w:pPr>
    </w:p>
    <w:tbl>
      <w:tblPr>
        <w:tblLayout w:type="fixed"/>
        <w:tblInd w:w="540" w:type="dxa"/>
        <w:tblCellMar>
          <w:top w:w="0" w:type="dxa"/>
          <w:left w:w="0" w:type="dxa"/>
          <w:bottom w:w="0" w:type="dxa"/>
          <w:right w:w="0" w:type="dxa"/>
        </w:tblCellMar>
      </w:tblPr>
      <w:tr>
        <w:trPr>
          <w:trHeight w:val="230"/>
        </w:trPr>
        <w:tc>
          <w:tcPr>
            <w:tcW w:w="3320" w:type="dxa"/>
            <w:vAlign w:val="bottom"/>
          </w:tcPr>
          <w:p>
            <w:pPr>
              <w:spacing w:after="0"/>
              <w:rPr>
                <w:sz w:val="19"/>
                <w:szCs w:val="19"/>
                <w:color w:val="auto"/>
              </w:rPr>
            </w:pPr>
          </w:p>
        </w:tc>
        <w:tc>
          <w:tcPr>
            <w:tcW w:w="6880" w:type="dxa"/>
            <w:vAlign w:val="bottom"/>
            <w:gridSpan w:val="2"/>
          </w:tcPr>
          <w:p>
            <w:pPr>
              <w:ind w:left="1840"/>
              <w:spacing w:after="0"/>
              <w:rPr>
                <w:sz w:val="20"/>
                <w:szCs w:val="20"/>
                <w:color w:val="auto"/>
              </w:rPr>
            </w:pPr>
            <w:r>
              <w:rPr>
                <w:rFonts w:ascii="Arial" w:cs="Arial" w:eastAsia="Arial" w:hAnsi="Arial"/>
                <w:sz w:val="18"/>
                <w:szCs w:val="18"/>
                <w:b w:val="1"/>
                <w:bCs w:val="1"/>
                <w:color w:val="auto"/>
              </w:rPr>
              <w:t>HEALTHEQUITY, INC.</w:t>
            </w:r>
          </w:p>
        </w:tc>
      </w:tr>
      <w:tr>
        <w:trPr>
          <w:trHeight w:val="235"/>
        </w:trPr>
        <w:tc>
          <w:tcPr>
            <w:tcW w:w="3320" w:type="dxa"/>
            <w:vAlign w:val="bottom"/>
          </w:tcPr>
          <w:p>
            <w:pPr>
              <w:spacing w:after="0"/>
              <w:rPr>
                <w:sz w:val="20"/>
                <w:szCs w:val="20"/>
                <w:color w:val="auto"/>
              </w:rPr>
            </w:pPr>
            <w:r>
              <w:rPr>
                <w:rFonts w:ascii="Arial" w:cs="Arial" w:eastAsia="Arial" w:hAnsi="Arial"/>
                <w:sz w:val="18"/>
                <w:szCs w:val="18"/>
                <w:color w:val="auto"/>
              </w:rPr>
              <w:t>Date: April 6, 2026</w:t>
            </w:r>
          </w:p>
        </w:tc>
        <w:tc>
          <w:tcPr>
            <w:tcW w:w="2860" w:type="dxa"/>
            <w:vAlign w:val="bottom"/>
          </w:tcPr>
          <w:p>
            <w:pPr>
              <w:ind w:left="1840"/>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Lucania</w:t>
            </w:r>
          </w:p>
        </w:tc>
      </w:tr>
      <w:tr>
        <w:trPr>
          <w:trHeight w:val="218"/>
        </w:trPr>
        <w:tc>
          <w:tcPr>
            <w:tcW w:w="3320" w:type="dxa"/>
            <w:vAlign w:val="bottom"/>
          </w:tcPr>
          <w:p>
            <w:pPr>
              <w:spacing w:after="0"/>
              <w:rPr>
                <w:sz w:val="18"/>
                <w:szCs w:val="18"/>
                <w:color w:val="auto"/>
              </w:rPr>
            </w:pPr>
          </w:p>
        </w:tc>
        <w:tc>
          <w:tcPr>
            <w:tcW w:w="2860" w:type="dxa"/>
            <w:vAlign w:val="bottom"/>
          </w:tcPr>
          <w:p>
            <w:pPr>
              <w:ind w:left="1840"/>
              <w:spacing w:after="0"/>
              <w:rPr>
                <w:sz w:val="20"/>
                <w:szCs w:val="20"/>
                <w:color w:val="auto"/>
              </w:rPr>
            </w:pPr>
            <w:r>
              <w:rPr>
                <w:rFonts w:ascii="Arial" w:cs="Arial" w:eastAsia="Arial" w:hAnsi="Arial"/>
                <w:sz w:val="18"/>
                <w:szCs w:val="18"/>
                <w:color w:val="auto"/>
              </w:rPr>
              <w:t>Name:</w:t>
            </w:r>
          </w:p>
        </w:tc>
        <w:tc>
          <w:tcPr>
            <w:tcW w:w="4020" w:type="dxa"/>
            <w:vAlign w:val="bottom"/>
          </w:tcPr>
          <w:p>
            <w:pPr>
              <w:spacing w:after="0"/>
              <w:rPr>
                <w:sz w:val="20"/>
                <w:szCs w:val="20"/>
                <w:color w:val="auto"/>
              </w:rPr>
            </w:pPr>
            <w:r>
              <w:rPr>
                <w:rFonts w:ascii="Arial" w:cs="Arial" w:eastAsia="Arial" w:hAnsi="Arial"/>
                <w:sz w:val="18"/>
                <w:szCs w:val="18"/>
                <w:color w:val="auto"/>
              </w:rPr>
              <w:t>James Lucania</w:t>
            </w:r>
          </w:p>
        </w:tc>
      </w:tr>
      <w:tr>
        <w:trPr>
          <w:trHeight w:val="189"/>
        </w:trPr>
        <w:tc>
          <w:tcPr>
            <w:tcW w:w="3320" w:type="dxa"/>
            <w:vAlign w:val="bottom"/>
          </w:tcPr>
          <w:p>
            <w:pPr>
              <w:spacing w:after="0"/>
              <w:rPr>
                <w:sz w:val="16"/>
                <w:szCs w:val="16"/>
                <w:color w:val="auto"/>
              </w:rPr>
            </w:pPr>
          </w:p>
        </w:tc>
        <w:tc>
          <w:tcPr>
            <w:tcW w:w="2860" w:type="dxa"/>
            <w:vAlign w:val="bottom"/>
          </w:tcPr>
          <w:p>
            <w:pPr>
              <w:ind w:left="1840"/>
              <w:spacing w:after="0" w:line="189" w:lineRule="exact"/>
              <w:rPr>
                <w:sz w:val="20"/>
                <w:szCs w:val="20"/>
                <w:color w:val="auto"/>
              </w:rPr>
            </w:pPr>
            <w:r>
              <w:rPr>
                <w:rFonts w:ascii="Arial" w:cs="Arial" w:eastAsia="Arial" w:hAnsi="Arial"/>
                <w:sz w:val="18"/>
                <w:szCs w:val="18"/>
                <w:color w:val="auto"/>
              </w:rPr>
              <w:t>Title:</w:t>
            </w:r>
          </w:p>
        </w:tc>
        <w:tc>
          <w:tcPr>
            <w:tcW w:w="4020" w:type="dxa"/>
            <w:vAlign w:val="bottom"/>
          </w:tcPr>
          <w:p>
            <w:pPr>
              <w:spacing w:after="0" w:line="189" w:lineRule="exact"/>
              <w:rPr>
                <w:sz w:val="20"/>
                <w:szCs w:val="20"/>
                <w:color w:val="auto"/>
              </w:rPr>
            </w:pPr>
            <w:r>
              <w:rPr>
                <w:rFonts w:ascii="Arial" w:cs="Arial" w:eastAsia="Arial" w:hAnsi="Arial"/>
                <w:sz w:val="18"/>
                <w:szCs w:val="18"/>
                <w:color w:val="auto"/>
              </w:rPr>
              <w:t>Executive Vice President and Chief Financial</w:t>
            </w:r>
          </w:p>
        </w:tc>
      </w:tr>
      <w:tr>
        <w:trPr>
          <w:trHeight w:val="239"/>
        </w:trPr>
        <w:tc>
          <w:tcPr>
            <w:tcW w:w="33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Officer</w:t>
            </w:r>
          </w:p>
        </w:tc>
      </w:tr>
    </w:tbl>
    <w:p>
      <w:pPr>
        <w:spacing w:after="0" w:line="1" w:lineRule="exact"/>
        <w:rPr>
          <w:sz w:val="20"/>
          <w:szCs w:val="20"/>
          <w:color w:val="auto"/>
        </w:rPr>
      </w:pPr>
    </w:p>
    <w:sectPr>
      <w:pgSz w:w="11900" w:h="16838" w:orient="portrait"/>
      <w:cols w:equalWidth="0" w:num="1">
        <w:col w:w="11120"/>
      </w:cols>
      <w:pgMar w:left="320" w:top="1313"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2026-04-06T16:03:35Z</dcterms:created>
  <dcterms:modified xsi:type="dcterms:W3CDTF">2026-04-06T16:03:35Z</dcterms:modified>
</cp:coreProperties>
</file>